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7"/>
        <w:gridCol w:w="9577"/>
      </w:tblGrid>
      <w:tr w:rsidR="00FA01C7" w:rsidRPr="008C155C" w:rsidTr="000709CF">
        <w:trPr>
          <w:trHeight w:val="375"/>
        </w:trPr>
        <w:tc>
          <w:tcPr>
            <w:tcW w:w="1162" w:type="pct"/>
            <w:shd w:val="clear" w:color="auto" w:fill="auto"/>
            <w:hideMark/>
          </w:tcPr>
          <w:p w:rsidR="00FA01C7" w:rsidRPr="000709CF" w:rsidRDefault="00FA01C7" w:rsidP="00FA01C7">
            <w:pPr>
              <w:spacing w:beforeLines="60" w:before="144" w:afterLines="60" w:after="144" w:line="360" w:lineRule="auto"/>
              <w:rPr>
                <w:rFonts w:ascii="Verdana" w:hAnsi="Verdana" w:cs="Arial"/>
                <w:b/>
                <w:sz w:val="44"/>
                <w:szCs w:val="44"/>
              </w:rPr>
            </w:pPr>
            <w:r w:rsidRPr="000709CF">
              <w:rPr>
                <w:rFonts w:ascii="Verdana" w:hAnsi="Verdana" w:cs="Arial"/>
                <w:b/>
                <w:sz w:val="44"/>
                <w:szCs w:val="44"/>
              </w:rPr>
              <w:t>Administracja</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pStyle w:val="Akapitzlist"/>
              <w:numPr>
                <w:ilvl w:val="0"/>
                <w:numId w:val="1"/>
              </w:numPr>
              <w:spacing w:after="0" w:line="240" w:lineRule="auto"/>
              <w:rPr>
                <w:rFonts w:ascii="Verdana" w:eastAsia="Times New Roman" w:hAnsi="Verdana" w:cs="Calibri"/>
                <w:b/>
                <w:bCs/>
                <w:color w:val="000000"/>
                <w:sz w:val="32"/>
                <w:szCs w:val="32"/>
                <w:lang w:eastAsia="pl-PL"/>
              </w:rPr>
            </w:pPr>
            <w:r w:rsidRPr="000709CF">
              <w:rPr>
                <w:rFonts w:ascii="Verdana" w:eastAsia="Times New Roman" w:hAnsi="Verdana" w:cs="Calibri"/>
                <w:b/>
                <w:bCs/>
                <w:color w:val="000000"/>
                <w:sz w:val="32"/>
                <w:szCs w:val="32"/>
                <w:lang w:eastAsia="pl-PL"/>
              </w:rPr>
              <w:t>studia pierwszego stopnia</w:t>
            </w:r>
          </w:p>
          <w:p w:rsidR="00FA01C7" w:rsidRPr="000709CF" w:rsidRDefault="00FA01C7" w:rsidP="00FA01C7">
            <w:pPr>
              <w:pStyle w:val="Akapitzlist"/>
              <w:numPr>
                <w:ilvl w:val="0"/>
                <w:numId w:val="1"/>
              </w:num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32"/>
                <w:szCs w:val="32"/>
                <w:lang w:eastAsia="pl-PL"/>
              </w:rPr>
              <w:t>stacjonarne</w:t>
            </w:r>
          </w:p>
        </w:tc>
        <w:tc>
          <w:tcPr>
            <w:tcW w:w="3838" w:type="pct"/>
          </w:tcPr>
          <w:p w:rsidR="00FA01C7" w:rsidRPr="00FA01C7" w:rsidRDefault="00FA01C7" w:rsidP="00FA01C7">
            <w:pPr>
              <w:pStyle w:val="NormalnyWeb"/>
              <w:spacing w:before="60" w:beforeAutospacing="0" w:after="60" w:afterAutospacing="0"/>
              <w:jc w:val="both"/>
              <w:rPr>
                <w:rFonts w:ascii="Arial" w:hAnsi="Arial" w:cs="Arial"/>
                <w:b/>
                <w:sz w:val="22"/>
                <w:szCs w:val="22"/>
              </w:rPr>
            </w:pPr>
            <w:r w:rsidRPr="00FA01C7">
              <w:rPr>
                <w:rFonts w:ascii="Arial" w:hAnsi="Arial" w:cs="Arial"/>
                <w:b/>
                <w:sz w:val="22"/>
                <w:szCs w:val="22"/>
              </w:rPr>
              <w:t>Dla kandydatów z NOWĄ MATURĄ</w:t>
            </w:r>
          </w:p>
          <w:p w:rsidR="00FA01C7" w:rsidRPr="00FA01C7" w:rsidRDefault="00FA01C7" w:rsidP="00FA01C7">
            <w:pPr>
              <w:pStyle w:val="NormalnyWeb"/>
              <w:spacing w:before="60" w:beforeAutospacing="0" w:after="60" w:afterAutospacing="0"/>
              <w:jc w:val="both"/>
              <w:rPr>
                <w:rFonts w:ascii="Arial" w:hAnsi="Arial" w:cs="Arial"/>
                <w:sz w:val="22"/>
                <w:szCs w:val="22"/>
              </w:rPr>
            </w:pPr>
            <w:r w:rsidRPr="00FA01C7">
              <w:rPr>
                <w:rFonts w:ascii="Arial" w:hAnsi="Arial" w:cs="Arial"/>
                <w:sz w:val="22"/>
                <w:szCs w:val="22"/>
              </w:rPr>
              <w:t>Kwalifikacja obejmuje konkurs świadectw dojrzałości z trzech przedmiotów zdawanych na egzaminie maturalnym w części pisemnej.</w:t>
            </w:r>
          </w:p>
          <w:p w:rsidR="00FA01C7" w:rsidRPr="00FA01C7" w:rsidRDefault="00FA01C7" w:rsidP="00FA01C7">
            <w:pPr>
              <w:pStyle w:val="NormalnyWeb"/>
              <w:spacing w:before="60" w:beforeAutospacing="0" w:after="60" w:afterAutospacing="0"/>
              <w:jc w:val="both"/>
              <w:rPr>
                <w:rFonts w:ascii="Arial" w:hAnsi="Arial" w:cs="Arial"/>
                <w:sz w:val="22"/>
                <w:szCs w:val="22"/>
              </w:rPr>
            </w:pPr>
            <w:r w:rsidRPr="00FA01C7">
              <w:rPr>
                <w:rFonts w:ascii="Arial" w:hAnsi="Arial" w:cs="Arial"/>
                <w:sz w:val="22"/>
                <w:szCs w:val="22"/>
              </w:rPr>
              <w:t>Wynik ostateczny stanowi sumę punktów procentowych z przedmiotów maturalnych.</w:t>
            </w:r>
          </w:p>
          <w:p w:rsidR="00FA01C7" w:rsidRPr="00FA01C7" w:rsidRDefault="00FA01C7" w:rsidP="00FA01C7">
            <w:pPr>
              <w:pStyle w:val="NormalnyWeb"/>
              <w:spacing w:before="60" w:beforeAutospacing="0" w:after="60" w:afterAutospacing="0"/>
              <w:jc w:val="both"/>
              <w:rPr>
                <w:rFonts w:ascii="Arial" w:hAnsi="Arial" w:cs="Arial"/>
                <w:sz w:val="22"/>
                <w:szCs w:val="22"/>
              </w:rPr>
            </w:pPr>
            <w:r w:rsidRPr="00FA01C7">
              <w:rPr>
                <w:rFonts w:ascii="Arial" w:hAnsi="Arial" w:cs="Arial"/>
                <w:sz w:val="22"/>
                <w:szCs w:val="22"/>
              </w:rPr>
              <w:t>Wynik z poziomu podstawowego zostanie pomnożony przez współczynnik 0,5.</w:t>
            </w:r>
          </w:p>
          <w:p w:rsidR="00FA01C7" w:rsidRPr="00FA01C7" w:rsidRDefault="00FA01C7" w:rsidP="00FA01C7">
            <w:pPr>
              <w:pStyle w:val="NormalnyWeb"/>
              <w:spacing w:before="60" w:beforeAutospacing="0" w:after="60" w:afterAutospacing="0"/>
              <w:jc w:val="both"/>
              <w:rPr>
                <w:rFonts w:ascii="Arial" w:hAnsi="Arial" w:cs="Arial"/>
                <w:sz w:val="22"/>
                <w:szCs w:val="22"/>
              </w:rPr>
            </w:pPr>
            <w:r w:rsidRPr="00FA01C7">
              <w:rPr>
                <w:rFonts w:ascii="Arial" w:hAnsi="Arial" w:cs="Arial"/>
                <w:sz w:val="22"/>
                <w:szCs w:val="22"/>
              </w:rPr>
              <w:t>Jeżeli na maturze kandydat zdawał przedmiot na obydwu poziomach bierze się pod uwagę wynik korzystniejszy dla kandydata.</w:t>
            </w:r>
          </w:p>
          <w:p w:rsidR="00FA01C7" w:rsidRPr="00FA01C7" w:rsidRDefault="00FA01C7" w:rsidP="00FA01C7">
            <w:pPr>
              <w:pStyle w:val="NormalnyWeb"/>
              <w:spacing w:before="60" w:beforeAutospacing="0" w:after="60" w:afterAutospacing="0"/>
              <w:jc w:val="both"/>
              <w:rPr>
                <w:rFonts w:ascii="Arial" w:hAnsi="Arial" w:cs="Arial"/>
                <w:b/>
                <w:sz w:val="22"/>
                <w:szCs w:val="22"/>
              </w:rPr>
            </w:pPr>
          </w:p>
          <w:p w:rsidR="00FA01C7" w:rsidRPr="00FA01C7" w:rsidRDefault="00FA01C7" w:rsidP="00FA01C7">
            <w:pPr>
              <w:pStyle w:val="NormalnyWeb"/>
              <w:spacing w:before="60" w:beforeAutospacing="0" w:after="60" w:afterAutospacing="0"/>
              <w:jc w:val="both"/>
              <w:rPr>
                <w:rFonts w:ascii="Arial" w:hAnsi="Arial" w:cs="Arial"/>
                <w:b/>
                <w:sz w:val="22"/>
                <w:szCs w:val="22"/>
              </w:rPr>
            </w:pPr>
            <w:r w:rsidRPr="00FA01C7">
              <w:rPr>
                <w:rFonts w:ascii="Arial" w:hAnsi="Arial" w:cs="Arial"/>
                <w:b/>
                <w:sz w:val="22"/>
                <w:szCs w:val="22"/>
              </w:rPr>
              <w:t>Dla kandydatów ze STARĄ MATURĄ</w:t>
            </w:r>
          </w:p>
          <w:p w:rsidR="00FA01C7" w:rsidRPr="00FA01C7" w:rsidRDefault="00FA01C7" w:rsidP="00FA01C7">
            <w:pPr>
              <w:autoSpaceDE w:val="0"/>
              <w:autoSpaceDN w:val="0"/>
              <w:adjustRightInd w:val="0"/>
              <w:spacing w:before="60" w:afterLines="60" w:after="144"/>
              <w:rPr>
                <w:rFonts w:ascii="Arial" w:hAnsi="Arial" w:cs="Arial"/>
              </w:rPr>
            </w:pPr>
            <w:r w:rsidRPr="00FA01C7">
              <w:rPr>
                <w:rFonts w:ascii="Arial" w:hAnsi="Arial" w:cs="Arial"/>
              </w:rPr>
              <w:t>Według zasad przyjętych w Uniwersytecie Śląskim — określonych w § 13 ust. 2. Uchwały rekrutacyjnej Senatu UŚ.</w:t>
            </w:r>
          </w:p>
          <w:p w:rsidR="00FA01C7" w:rsidRPr="00FA01C7" w:rsidRDefault="00FA01C7" w:rsidP="00FA01C7">
            <w:pPr>
              <w:pStyle w:val="NormalnyWeb"/>
              <w:spacing w:before="60" w:after="60"/>
              <w:jc w:val="both"/>
              <w:rPr>
                <w:rFonts w:ascii="Arial" w:hAnsi="Arial" w:cs="Arial"/>
                <w:i/>
                <w:sz w:val="22"/>
                <w:szCs w:val="22"/>
              </w:rPr>
            </w:pPr>
            <w:r w:rsidRPr="00FA01C7">
              <w:rPr>
                <w:rFonts w:ascii="Arial" w:hAnsi="Arial" w:cs="Arial"/>
                <w:sz w:val="22"/>
                <w:szCs w:val="22"/>
              </w:rPr>
              <w:t xml:space="preserve">Kandydaci na kierunek: Przedsiębiorczość, </w:t>
            </w:r>
            <w:r w:rsidRPr="00FA01C7">
              <w:rPr>
                <w:rFonts w:ascii="Arial" w:hAnsi="Arial" w:cs="Arial"/>
                <w:i/>
                <w:sz w:val="22"/>
                <w:szCs w:val="22"/>
              </w:rPr>
              <w:t xml:space="preserve">posiadający międzynarodową maturę — dyplom „International </w:t>
            </w:r>
            <w:proofErr w:type="spellStart"/>
            <w:r w:rsidRPr="00FA01C7">
              <w:rPr>
                <w:rFonts w:ascii="Arial" w:hAnsi="Arial" w:cs="Arial"/>
                <w:i/>
                <w:sz w:val="22"/>
                <w:szCs w:val="22"/>
              </w:rPr>
              <w:t>Baccalaureate</w:t>
            </w:r>
            <w:proofErr w:type="spellEnd"/>
            <w:r w:rsidRPr="00FA01C7">
              <w:rPr>
                <w:rFonts w:ascii="Arial" w:hAnsi="Arial" w:cs="Arial"/>
                <w:i/>
                <w:sz w:val="22"/>
                <w:szCs w:val="22"/>
              </w:rPr>
              <w:t xml:space="preserve">” (IB), otrzymują dodatkowo 10 punktów. </w:t>
            </w:r>
          </w:p>
          <w:p w:rsidR="00FA01C7" w:rsidRPr="00FA01C7" w:rsidRDefault="00FA01C7" w:rsidP="00FA01C7">
            <w:pPr>
              <w:spacing w:after="0" w:line="240" w:lineRule="auto"/>
              <w:rPr>
                <w:rFonts w:ascii="Arial" w:eastAsia="Times New Roman" w:hAnsi="Arial" w:cs="Arial"/>
                <w:color w:val="000000"/>
                <w:lang w:eastAsia="pl-PL"/>
              </w:rPr>
            </w:pPr>
          </w:p>
        </w:tc>
      </w:tr>
      <w:tr w:rsidR="00FA01C7" w:rsidRPr="008C155C" w:rsidTr="000709CF">
        <w:trPr>
          <w:trHeight w:val="705"/>
        </w:trPr>
        <w:tc>
          <w:tcPr>
            <w:tcW w:w="1162" w:type="pct"/>
            <w:shd w:val="clear" w:color="auto" w:fill="auto"/>
            <w:hideMark/>
          </w:tcPr>
          <w:p w:rsidR="00272623" w:rsidRPr="000709CF" w:rsidRDefault="00272623"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44"/>
                <w:szCs w:val="44"/>
                <w:lang w:eastAsia="pl-PL"/>
              </w:rPr>
            </w:pPr>
            <w:r w:rsidRPr="000709CF">
              <w:rPr>
                <w:rFonts w:ascii="Verdana" w:eastAsia="Times New Roman" w:hAnsi="Verdana" w:cs="Calibri"/>
                <w:b/>
                <w:bCs/>
                <w:color w:val="000000"/>
                <w:sz w:val="44"/>
                <w:szCs w:val="44"/>
                <w:lang w:eastAsia="pl-PL"/>
              </w:rPr>
              <w:t>Administracja</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pStyle w:val="Akapitzlist"/>
              <w:numPr>
                <w:ilvl w:val="0"/>
                <w:numId w:val="2"/>
              </w:numPr>
              <w:spacing w:after="0" w:line="240" w:lineRule="auto"/>
              <w:rPr>
                <w:rFonts w:ascii="Verdana" w:eastAsia="Times New Roman" w:hAnsi="Verdana" w:cs="Calibri"/>
                <w:b/>
                <w:bCs/>
                <w:color w:val="000000"/>
                <w:sz w:val="40"/>
                <w:szCs w:val="40"/>
                <w:lang w:eastAsia="pl-PL"/>
              </w:rPr>
            </w:pPr>
            <w:r w:rsidRPr="000709CF">
              <w:rPr>
                <w:rFonts w:ascii="Verdana" w:eastAsia="Times New Roman" w:hAnsi="Verdana" w:cs="Calibri"/>
                <w:b/>
                <w:bCs/>
                <w:color w:val="000000"/>
                <w:sz w:val="40"/>
                <w:szCs w:val="40"/>
                <w:lang w:eastAsia="pl-PL"/>
              </w:rPr>
              <w:t>studia pierwszego stopnia</w:t>
            </w:r>
          </w:p>
          <w:p w:rsidR="00FA01C7" w:rsidRPr="000709CF" w:rsidRDefault="00FA01C7" w:rsidP="00FA01C7">
            <w:pPr>
              <w:pStyle w:val="Akapitzlist"/>
              <w:numPr>
                <w:ilvl w:val="0"/>
                <w:numId w:val="2"/>
              </w:numPr>
              <w:spacing w:after="0" w:line="240" w:lineRule="auto"/>
              <w:rPr>
                <w:rFonts w:ascii="Verdana" w:eastAsia="Times New Roman" w:hAnsi="Verdana" w:cs="Calibri"/>
                <w:b/>
                <w:bCs/>
                <w:color w:val="000000"/>
                <w:sz w:val="40"/>
                <w:szCs w:val="40"/>
                <w:lang w:eastAsia="pl-PL"/>
              </w:rPr>
            </w:pPr>
            <w:r w:rsidRPr="000709CF">
              <w:rPr>
                <w:rFonts w:ascii="Verdana" w:eastAsia="Times New Roman" w:hAnsi="Verdana" w:cs="Calibri"/>
                <w:b/>
                <w:bCs/>
                <w:color w:val="000000"/>
                <w:sz w:val="40"/>
                <w:szCs w:val="40"/>
                <w:lang w:eastAsia="pl-PL"/>
              </w:rPr>
              <w:t>niestacjonarne</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tc>
        <w:tc>
          <w:tcPr>
            <w:tcW w:w="3838" w:type="pct"/>
          </w:tcPr>
          <w:p w:rsidR="00FA01C7" w:rsidRPr="00FA01C7" w:rsidRDefault="00FA01C7" w:rsidP="00FA01C7">
            <w:pPr>
              <w:pStyle w:val="Default"/>
              <w:spacing w:beforeLines="60" w:before="144" w:afterLines="60" w:after="144"/>
              <w:jc w:val="both"/>
              <w:rPr>
                <w:color w:val="auto"/>
                <w:sz w:val="22"/>
                <w:szCs w:val="22"/>
              </w:rPr>
            </w:pPr>
            <w:r w:rsidRPr="00FA01C7">
              <w:rPr>
                <w:b/>
                <w:color w:val="auto"/>
                <w:sz w:val="22"/>
                <w:szCs w:val="22"/>
              </w:rPr>
              <w:t xml:space="preserve">Wstęp na studia: </w:t>
            </w:r>
            <w:r w:rsidRPr="00FA01C7">
              <w:rPr>
                <w:color w:val="auto"/>
                <w:sz w:val="22"/>
                <w:szCs w:val="22"/>
              </w:rPr>
              <w:t>na podstawie złożenia wymaganych dokumentów, po uprzednim zarejestrowaniu się kandydata w systemie Internetowej Rejestracji Kandydatów (IRK).</w:t>
            </w:r>
          </w:p>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272623" w:rsidRPr="000709CF" w:rsidRDefault="00272623"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44"/>
                <w:szCs w:val="44"/>
                <w:lang w:eastAsia="pl-PL"/>
              </w:rPr>
            </w:pPr>
            <w:r w:rsidRPr="000709CF">
              <w:rPr>
                <w:rFonts w:ascii="Verdana" w:eastAsia="Times New Roman" w:hAnsi="Verdana" w:cs="Calibri"/>
                <w:b/>
                <w:bCs/>
                <w:color w:val="000000"/>
                <w:sz w:val="44"/>
                <w:szCs w:val="44"/>
                <w:lang w:eastAsia="pl-PL"/>
              </w:rPr>
              <w:lastRenderedPageBreak/>
              <w:t>Administracja</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pStyle w:val="Akapitzlist"/>
              <w:numPr>
                <w:ilvl w:val="0"/>
                <w:numId w:val="3"/>
              </w:numPr>
              <w:spacing w:after="0" w:line="240" w:lineRule="auto"/>
              <w:rPr>
                <w:rFonts w:ascii="Verdana" w:eastAsia="Times New Roman" w:hAnsi="Verdana" w:cs="Calibri"/>
                <w:b/>
                <w:bCs/>
                <w:color w:val="000000"/>
                <w:sz w:val="40"/>
                <w:szCs w:val="40"/>
                <w:lang w:eastAsia="pl-PL"/>
              </w:rPr>
            </w:pPr>
            <w:r w:rsidRPr="000709CF">
              <w:rPr>
                <w:rFonts w:ascii="Verdana" w:eastAsia="Times New Roman" w:hAnsi="Verdana" w:cs="Calibri"/>
                <w:b/>
                <w:bCs/>
                <w:color w:val="000000"/>
                <w:sz w:val="40"/>
                <w:szCs w:val="40"/>
                <w:lang w:eastAsia="pl-PL"/>
              </w:rPr>
              <w:t>studia drugiego stopnia</w:t>
            </w:r>
          </w:p>
          <w:p w:rsidR="00FA01C7" w:rsidRPr="000709CF" w:rsidRDefault="00FA01C7" w:rsidP="00FA01C7">
            <w:pPr>
              <w:pStyle w:val="Akapitzlist"/>
              <w:numPr>
                <w:ilvl w:val="0"/>
                <w:numId w:val="3"/>
              </w:numPr>
              <w:spacing w:after="0" w:line="240" w:lineRule="auto"/>
              <w:rPr>
                <w:rFonts w:ascii="Verdana" w:eastAsia="Times New Roman" w:hAnsi="Verdana" w:cs="Calibri"/>
                <w:b/>
                <w:bCs/>
                <w:color w:val="000000"/>
                <w:sz w:val="40"/>
                <w:szCs w:val="40"/>
                <w:lang w:eastAsia="pl-PL"/>
              </w:rPr>
            </w:pPr>
            <w:r w:rsidRPr="000709CF">
              <w:rPr>
                <w:rFonts w:ascii="Verdana" w:eastAsia="Times New Roman" w:hAnsi="Verdana" w:cs="Calibri"/>
                <w:b/>
                <w:bCs/>
                <w:color w:val="000000"/>
                <w:sz w:val="40"/>
                <w:szCs w:val="40"/>
                <w:lang w:eastAsia="pl-PL"/>
              </w:rPr>
              <w:t>stacjonarne</w:t>
            </w:r>
          </w:p>
          <w:p w:rsidR="00FA01C7" w:rsidRPr="000709CF" w:rsidRDefault="00FA01C7" w:rsidP="00FA01C7">
            <w:pPr>
              <w:pStyle w:val="Akapitzlist"/>
              <w:spacing w:after="0" w:line="240" w:lineRule="auto"/>
              <w:rPr>
                <w:rFonts w:ascii="Verdana" w:eastAsia="Times New Roman" w:hAnsi="Verdana" w:cs="Calibri"/>
                <w:b/>
                <w:bCs/>
                <w:color w:val="000000"/>
                <w:sz w:val="28"/>
                <w:szCs w:val="28"/>
                <w:lang w:eastAsia="pl-PL"/>
              </w:rPr>
            </w:pPr>
          </w:p>
        </w:tc>
        <w:tc>
          <w:tcPr>
            <w:tcW w:w="3838" w:type="pct"/>
          </w:tcPr>
          <w:p w:rsidR="00FA01C7" w:rsidRPr="009C189D" w:rsidRDefault="00FA01C7" w:rsidP="00FA01C7">
            <w:pPr>
              <w:pStyle w:val="Default"/>
              <w:spacing w:beforeLines="60" w:before="144" w:afterLines="60" w:after="144"/>
              <w:jc w:val="both"/>
              <w:rPr>
                <w:color w:val="auto"/>
                <w:sz w:val="22"/>
                <w:szCs w:val="22"/>
              </w:rPr>
            </w:pPr>
            <w:r w:rsidRPr="009C189D">
              <w:rPr>
                <w:b/>
                <w:color w:val="auto"/>
                <w:sz w:val="22"/>
                <w:szCs w:val="22"/>
              </w:rPr>
              <w:lastRenderedPageBreak/>
              <w:t xml:space="preserve">Wstęp na studia: </w:t>
            </w:r>
            <w:r w:rsidRPr="009C189D">
              <w:rPr>
                <w:color w:val="auto"/>
                <w:sz w:val="22"/>
                <w:szCs w:val="22"/>
              </w:rPr>
              <w:t>na podstawie złożenia wymaganych dokumentów, po uprzednim zarejestrowaniu się kandydata w systemie Internetowe</w:t>
            </w:r>
            <w:r>
              <w:rPr>
                <w:color w:val="auto"/>
                <w:sz w:val="22"/>
                <w:szCs w:val="22"/>
              </w:rPr>
              <w:t>j Rejestracji Kandydatów (IRK).</w:t>
            </w:r>
          </w:p>
          <w:p w:rsidR="00FA01C7" w:rsidRPr="001D0E48" w:rsidRDefault="00FA01C7" w:rsidP="00FA01C7">
            <w:pPr>
              <w:pStyle w:val="Default"/>
              <w:spacing w:beforeLines="60" w:before="144" w:afterLines="60" w:after="144"/>
              <w:jc w:val="both"/>
              <w:rPr>
                <w:sz w:val="22"/>
                <w:szCs w:val="22"/>
              </w:rPr>
            </w:pPr>
            <w:r w:rsidRPr="001D0E48">
              <w:rPr>
                <w:bCs/>
                <w:sz w:val="22"/>
                <w:szCs w:val="22"/>
              </w:rPr>
              <w:lastRenderedPageBreak/>
              <w:t xml:space="preserve">Jeżeli liczba kandydatów będzie większa od limitu miejsc, o kolejności przyjęć zadecyduje miejsce na liście rankingowej utworzonej </w:t>
            </w:r>
            <w:r w:rsidRPr="001D0E48">
              <w:rPr>
                <w:sz w:val="22"/>
                <w:szCs w:val="22"/>
              </w:rPr>
              <w:t>na podstawie średniej ocen ze studiów wyższych.</w:t>
            </w:r>
          </w:p>
          <w:p w:rsidR="00FA01C7" w:rsidRDefault="00FA01C7" w:rsidP="00FA01C7">
            <w:pPr>
              <w:spacing w:before="60" w:after="0"/>
              <w:jc w:val="both"/>
              <w:rPr>
                <w:rFonts w:ascii="Arial" w:hAnsi="Arial" w:cs="Arial"/>
                <w:color w:val="000000"/>
              </w:rPr>
            </w:pPr>
            <w:r w:rsidRPr="00A4673D">
              <w:rPr>
                <w:rFonts w:ascii="Arial" w:hAnsi="Arial" w:cs="Arial"/>
                <w:color w:val="000000"/>
              </w:rPr>
              <w:t>Na studia przyjmowani są absolwenci studiów I stopnia z kierunku administracja, a także absolwenci innych kierunków studiów I stopnia</w:t>
            </w:r>
            <w:r>
              <w:rPr>
                <w:rFonts w:ascii="Arial" w:hAnsi="Arial" w:cs="Arial"/>
                <w:color w:val="000000"/>
              </w:rPr>
              <w:t xml:space="preserve"> (licencjackich)</w:t>
            </w:r>
            <w:r w:rsidRPr="00A4673D">
              <w:rPr>
                <w:rFonts w:ascii="Arial" w:hAnsi="Arial" w:cs="Arial"/>
                <w:color w:val="000000"/>
              </w:rPr>
              <w:t>, studiów in</w:t>
            </w:r>
            <w:r>
              <w:rPr>
                <w:rFonts w:ascii="Arial" w:hAnsi="Arial" w:cs="Arial"/>
                <w:color w:val="000000"/>
              </w:rPr>
              <w:t>żynierskich oraz magisterskich.</w:t>
            </w:r>
          </w:p>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Administracja</w:t>
            </w:r>
          </w:p>
          <w:p w:rsidR="00FA01C7" w:rsidRPr="000709CF" w:rsidRDefault="00FA01C7" w:rsidP="00FA01C7">
            <w:pPr>
              <w:pStyle w:val="Akapitzlist"/>
              <w:numPr>
                <w:ilvl w:val="0"/>
                <w:numId w:val="3"/>
              </w:num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studia drugiego stopnia</w:t>
            </w:r>
          </w:p>
          <w:p w:rsidR="00FA01C7" w:rsidRPr="000709CF" w:rsidRDefault="00FA01C7" w:rsidP="00FA01C7">
            <w:pPr>
              <w:pStyle w:val="Akapitzlist"/>
              <w:numPr>
                <w:ilvl w:val="0"/>
                <w:numId w:val="3"/>
              </w:num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niestacjonarne</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tc>
        <w:tc>
          <w:tcPr>
            <w:tcW w:w="3838" w:type="pct"/>
          </w:tcPr>
          <w:p w:rsidR="00FA01C7" w:rsidRPr="009C189D" w:rsidRDefault="00FA01C7" w:rsidP="00FA01C7">
            <w:pPr>
              <w:pStyle w:val="Default"/>
              <w:spacing w:beforeLines="60" w:before="144" w:afterLines="60" w:after="144"/>
              <w:jc w:val="both"/>
              <w:rPr>
                <w:color w:val="auto"/>
                <w:sz w:val="22"/>
                <w:szCs w:val="22"/>
              </w:rPr>
            </w:pPr>
            <w:r w:rsidRPr="009C189D">
              <w:rPr>
                <w:b/>
                <w:color w:val="auto"/>
                <w:sz w:val="22"/>
                <w:szCs w:val="22"/>
              </w:rPr>
              <w:t xml:space="preserve">Wstęp na studia: </w:t>
            </w:r>
            <w:r w:rsidRPr="009C189D">
              <w:rPr>
                <w:color w:val="auto"/>
                <w:sz w:val="22"/>
                <w:szCs w:val="22"/>
              </w:rPr>
              <w:t>na podstawie złożenia wymaganych dokumentów, po uprzednim zarejestrowaniu się kandydata w systemie Internetowe</w:t>
            </w:r>
            <w:r>
              <w:rPr>
                <w:color w:val="auto"/>
                <w:sz w:val="22"/>
                <w:szCs w:val="22"/>
              </w:rPr>
              <w:t>j Rejestracji Kandydatów (IRK).</w:t>
            </w:r>
          </w:p>
          <w:p w:rsidR="00FA01C7" w:rsidRDefault="00FA01C7" w:rsidP="00FA01C7">
            <w:pPr>
              <w:spacing w:before="60" w:after="0"/>
              <w:jc w:val="both"/>
              <w:rPr>
                <w:rFonts w:ascii="Arial" w:hAnsi="Arial" w:cs="Arial"/>
                <w:color w:val="000000"/>
              </w:rPr>
            </w:pPr>
            <w:r w:rsidRPr="00A4673D">
              <w:rPr>
                <w:rFonts w:ascii="Arial" w:hAnsi="Arial" w:cs="Arial"/>
                <w:color w:val="000000"/>
              </w:rPr>
              <w:t>Na studia przyjmowani są absolwenci studiów I stopnia z kierunku administracja, a także absolwenci innych kierunków studiów I stopnia</w:t>
            </w:r>
            <w:r>
              <w:rPr>
                <w:rFonts w:ascii="Arial" w:hAnsi="Arial" w:cs="Arial"/>
                <w:color w:val="000000"/>
              </w:rPr>
              <w:t xml:space="preserve"> (licencjackich)</w:t>
            </w:r>
            <w:r w:rsidRPr="00A4673D">
              <w:rPr>
                <w:rFonts w:ascii="Arial" w:hAnsi="Arial" w:cs="Arial"/>
                <w:color w:val="000000"/>
              </w:rPr>
              <w:t>, studiów in</w:t>
            </w:r>
            <w:r>
              <w:rPr>
                <w:rFonts w:ascii="Arial" w:hAnsi="Arial" w:cs="Arial"/>
                <w:color w:val="000000"/>
              </w:rPr>
              <w:t>żynierskich oraz magisterskich.</w:t>
            </w:r>
          </w:p>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Animacja społeczno-kulturalna z edukacją kulturalną</w:t>
            </w: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p w:rsidR="00FA01C7" w:rsidRPr="000709CF" w:rsidRDefault="00FA01C7" w:rsidP="00FA01C7">
            <w:pPr>
              <w:spacing w:after="0" w:line="240" w:lineRule="auto"/>
              <w:rPr>
                <w:rFonts w:ascii="Verdana" w:eastAsia="Times New Roman" w:hAnsi="Verdana" w:cs="Calibri"/>
                <w:b/>
                <w:bCs/>
                <w:color w:val="000000"/>
                <w:sz w:val="28"/>
                <w:szCs w:val="28"/>
                <w:lang w:eastAsia="pl-PL"/>
              </w:rPr>
            </w:pPr>
          </w:p>
        </w:tc>
        <w:tc>
          <w:tcPr>
            <w:tcW w:w="3838" w:type="pct"/>
          </w:tcPr>
          <w:p w:rsidR="00FA01C7" w:rsidRPr="0031539C" w:rsidRDefault="00FA01C7" w:rsidP="00FA01C7">
            <w:pPr>
              <w:spacing w:beforeLines="60" w:before="144" w:after="0" w:line="240" w:lineRule="auto"/>
              <w:rPr>
                <w:rFonts w:ascii="Arial" w:hAnsi="Arial" w:cs="Arial"/>
                <w:b/>
                <w:bCs/>
              </w:rPr>
            </w:pPr>
            <w:r>
              <w:rPr>
                <w:rFonts w:ascii="Arial" w:hAnsi="Arial" w:cs="Arial"/>
                <w:b/>
                <w:bCs/>
              </w:rPr>
              <w:lastRenderedPageBreak/>
              <w:t>Dla kandydatów z NOWĄ MATURĄ:</w:t>
            </w:r>
          </w:p>
          <w:p w:rsidR="00FA01C7" w:rsidRPr="00D063AD" w:rsidRDefault="00FA01C7" w:rsidP="00FA01C7">
            <w:pPr>
              <w:spacing w:beforeLines="60" w:before="144" w:after="0" w:line="240" w:lineRule="auto"/>
              <w:jc w:val="both"/>
              <w:rPr>
                <w:rFonts w:ascii="Arial" w:hAnsi="Arial" w:cs="Arial"/>
                <w:sz w:val="18"/>
                <w:szCs w:val="18"/>
              </w:rPr>
            </w:pPr>
            <w:r w:rsidRPr="0031539C">
              <w:rPr>
                <w:rFonts w:ascii="Arial" w:hAnsi="Arial" w:cs="Arial"/>
              </w:rPr>
              <w:t xml:space="preserve">Kwalifikacja obejmuje </w:t>
            </w:r>
            <w:r w:rsidRPr="0031539C">
              <w:rPr>
                <w:rFonts w:ascii="Arial" w:hAnsi="Arial" w:cs="Arial"/>
                <w:b/>
                <w:bCs/>
              </w:rPr>
              <w:t xml:space="preserve">konkurs świadectw dojrzałości </w:t>
            </w:r>
            <w:r w:rsidRPr="0031539C">
              <w:rPr>
                <w:rFonts w:ascii="Arial" w:hAnsi="Arial" w:cs="Arial"/>
              </w:rPr>
              <w:t xml:space="preserve">— brane są pod uwagę wyniki ze wskazanych poniżej </w:t>
            </w:r>
            <w:r>
              <w:rPr>
                <w:rFonts w:ascii="Arial" w:hAnsi="Arial" w:cs="Arial"/>
              </w:rPr>
              <w:t>przedmiotów zdawanych na egzaminie maturalnym w części pisemnej:</w:t>
            </w:r>
          </w:p>
          <w:p w:rsidR="00FA01C7" w:rsidRDefault="00FA01C7" w:rsidP="00FA01C7">
            <w:pPr>
              <w:spacing w:beforeLines="60" w:before="144"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2098"/>
              <w:gridCol w:w="2098"/>
            </w:tblGrid>
            <w:tr w:rsidR="00FA01C7" w:rsidRPr="001D78C3" w:rsidTr="00FA01C7">
              <w:trPr>
                <w:trHeight w:val="1062"/>
                <w:jc w:val="center"/>
              </w:trPr>
              <w:tc>
                <w:tcPr>
                  <w:tcW w:w="2098" w:type="dxa"/>
                  <w:vAlign w:val="center"/>
                </w:tcPr>
                <w:p w:rsidR="00FA01C7" w:rsidRDefault="00FA01C7" w:rsidP="00FA01C7">
                  <w:pPr>
                    <w:spacing w:after="0" w:line="240" w:lineRule="auto"/>
                    <w:jc w:val="center"/>
                    <w:rPr>
                      <w:rFonts w:ascii="Arial" w:hAnsi="Arial" w:cs="Arial"/>
                      <w:b/>
                    </w:rPr>
                  </w:pPr>
                  <w:r w:rsidRPr="001D78C3">
                    <w:rPr>
                      <w:rFonts w:ascii="Arial" w:hAnsi="Arial" w:cs="Arial"/>
                      <w:b/>
                    </w:rPr>
                    <w:t>Język polski</w:t>
                  </w:r>
                </w:p>
                <w:p w:rsidR="00FA01C7" w:rsidRDefault="00FA01C7" w:rsidP="00FA01C7">
                  <w:pPr>
                    <w:spacing w:after="0" w:line="240" w:lineRule="auto"/>
                    <w:jc w:val="center"/>
                    <w:rPr>
                      <w:rFonts w:ascii="Arial" w:hAnsi="Arial" w:cs="Arial"/>
                      <w:sz w:val="20"/>
                      <w:szCs w:val="20"/>
                    </w:rPr>
                  </w:pPr>
                </w:p>
                <w:p w:rsidR="00FA01C7" w:rsidRPr="00806DF6" w:rsidRDefault="00FA01C7" w:rsidP="00FA01C7">
                  <w:pPr>
                    <w:spacing w:after="0" w:line="240" w:lineRule="auto"/>
                    <w:jc w:val="center"/>
                    <w:rPr>
                      <w:rFonts w:ascii="Arial" w:hAnsi="Arial" w:cs="Arial"/>
                      <w:sz w:val="18"/>
                      <w:szCs w:val="18"/>
                    </w:rPr>
                  </w:pPr>
                  <w:r w:rsidRPr="00806DF6">
                    <w:rPr>
                      <w:rFonts w:ascii="Arial" w:hAnsi="Arial" w:cs="Arial"/>
                      <w:sz w:val="18"/>
                      <w:szCs w:val="18"/>
                    </w:rPr>
                    <w:t xml:space="preserve">poziom podstawowy </w:t>
                  </w:r>
                </w:p>
                <w:p w:rsidR="00FA01C7" w:rsidRPr="00806DF6" w:rsidRDefault="00FA01C7" w:rsidP="00FA01C7">
                  <w:pPr>
                    <w:spacing w:after="0" w:line="240" w:lineRule="auto"/>
                    <w:jc w:val="center"/>
                    <w:rPr>
                      <w:rFonts w:ascii="Arial" w:hAnsi="Arial" w:cs="Arial"/>
                      <w:sz w:val="20"/>
                      <w:szCs w:val="20"/>
                    </w:rPr>
                  </w:pPr>
                  <w:r w:rsidRPr="00806DF6">
                    <w:rPr>
                      <w:rFonts w:ascii="Arial" w:hAnsi="Arial" w:cs="Arial"/>
                      <w:sz w:val="18"/>
                      <w:szCs w:val="18"/>
                    </w:rPr>
                    <w:t>lub rozszerzony</w:t>
                  </w:r>
                </w:p>
              </w:tc>
              <w:tc>
                <w:tcPr>
                  <w:tcW w:w="2098" w:type="dxa"/>
                  <w:vAlign w:val="center"/>
                </w:tcPr>
                <w:p w:rsidR="00FA01C7" w:rsidRDefault="00FA01C7" w:rsidP="00FA01C7">
                  <w:pPr>
                    <w:spacing w:after="0" w:line="240" w:lineRule="auto"/>
                    <w:jc w:val="center"/>
                    <w:rPr>
                      <w:rFonts w:ascii="Arial" w:hAnsi="Arial" w:cs="Arial"/>
                      <w:b/>
                    </w:rPr>
                  </w:pPr>
                  <w:r>
                    <w:rPr>
                      <w:rFonts w:ascii="Arial" w:hAnsi="Arial" w:cs="Arial"/>
                      <w:b/>
                    </w:rPr>
                    <w:t xml:space="preserve">Język obcy nowożytny </w:t>
                  </w:r>
                </w:p>
                <w:p w:rsidR="00FA01C7" w:rsidRPr="00BA0044" w:rsidRDefault="00FA01C7" w:rsidP="00FA01C7">
                  <w:pPr>
                    <w:spacing w:after="0" w:line="240" w:lineRule="auto"/>
                    <w:jc w:val="center"/>
                    <w:rPr>
                      <w:rFonts w:ascii="Arial" w:hAnsi="Arial" w:cs="Arial"/>
                    </w:rPr>
                  </w:pPr>
                </w:p>
                <w:p w:rsidR="00FA01C7" w:rsidRPr="00806DF6" w:rsidRDefault="00FA01C7" w:rsidP="00FA01C7">
                  <w:pPr>
                    <w:spacing w:after="0" w:line="240" w:lineRule="auto"/>
                    <w:jc w:val="center"/>
                    <w:rPr>
                      <w:rFonts w:ascii="Arial" w:hAnsi="Arial" w:cs="Arial"/>
                      <w:sz w:val="18"/>
                      <w:szCs w:val="18"/>
                    </w:rPr>
                  </w:pPr>
                  <w:r w:rsidRPr="00806DF6">
                    <w:rPr>
                      <w:rFonts w:ascii="Arial" w:hAnsi="Arial" w:cs="Arial"/>
                      <w:sz w:val="18"/>
                      <w:szCs w:val="18"/>
                    </w:rPr>
                    <w:t xml:space="preserve">poziom podstawowy </w:t>
                  </w:r>
                </w:p>
                <w:p w:rsidR="00FA01C7" w:rsidRPr="001D78C3" w:rsidRDefault="00FA01C7" w:rsidP="00FA01C7">
                  <w:pPr>
                    <w:spacing w:after="0" w:line="240" w:lineRule="auto"/>
                    <w:jc w:val="center"/>
                    <w:rPr>
                      <w:rFonts w:ascii="Arial" w:hAnsi="Arial" w:cs="Arial"/>
                      <w:b/>
                    </w:rPr>
                  </w:pPr>
                  <w:r w:rsidRPr="00806DF6">
                    <w:rPr>
                      <w:rFonts w:ascii="Arial" w:hAnsi="Arial" w:cs="Arial"/>
                      <w:sz w:val="18"/>
                      <w:szCs w:val="18"/>
                    </w:rPr>
                    <w:t>lub rozszerzony</w:t>
                  </w:r>
                </w:p>
              </w:tc>
              <w:tc>
                <w:tcPr>
                  <w:tcW w:w="2098" w:type="dxa"/>
                  <w:vAlign w:val="center"/>
                </w:tcPr>
                <w:p w:rsidR="00FA01C7" w:rsidRDefault="00FA01C7" w:rsidP="00FA01C7">
                  <w:pPr>
                    <w:spacing w:after="0" w:line="240" w:lineRule="auto"/>
                    <w:jc w:val="center"/>
                    <w:rPr>
                      <w:rFonts w:ascii="Arial" w:hAnsi="Arial" w:cs="Arial"/>
                      <w:b/>
                    </w:rPr>
                  </w:pPr>
                  <w:r>
                    <w:rPr>
                      <w:rFonts w:ascii="Arial" w:hAnsi="Arial" w:cs="Arial"/>
                      <w:b/>
                    </w:rPr>
                    <w:t>Przedmiot do wyboru*</w:t>
                  </w:r>
                </w:p>
                <w:p w:rsidR="00FA01C7" w:rsidRPr="00BA0044" w:rsidRDefault="00FA01C7" w:rsidP="00FA01C7">
                  <w:pPr>
                    <w:spacing w:after="0" w:line="240" w:lineRule="auto"/>
                    <w:jc w:val="center"/>
                    <w:rPr>
                      <w:rFonts w:ascii="Arial" w:hAnsi="Arial" w:cs="Arial"/>
                    </w:rPr>
                  </w:pPr>
                </w:p>
                <w:p w:rsidR="00FA01C7" w:rsidRPr="00806DF6" w:rsidRDefault="00FA01C7" w:rsidP="00FA01C7">
                  <w:pPr>
                    <w:spacing w:after="0" w:line="240" w:lineRule="auto"/>
                    <w:jc w:val="center"/>
                    <w:rPr>
                      <w:rFonts w:ascii="Arial" w:hAnsi="Arial" w:cs="Arial"/>
                      <w:sz w:val="18"/>
                      <w:szCs w:val="18"/>
                    </w:rPr>
                  </w:pPr>
                  <w:r w:rsidRPr="00806DF6">
                    <w:rPr>
                      <w:rFonts w:ascii="Arial" w:hAnsi="Arial" w:cs="Arial"/>
                      <w:sz w:val="18"/>
                      <w:szCs w:val="18"/>
                    </w:rPr>
                    <w:t xml:space="preserve">poziom podstawowy </w:t>
                  </w:r>
                </w:p>
                <w:p w:rsidR="00FA01C7" w:rsidRPr="001D78C3" w:rsidRDefault="00FA01C7" w:rsidP="00FA01C7">
                  <w:pPr>
                    <w:spacing w:after="0" w:line="240" w:lineRule="auto"/>
                    <w:jc w:val="center"/>
                    <w:rPr>
                      <w:rFonts w:ascii="Arial" w:hAnsi="Arial" w:cs="Arial"/>
                      <w:b/>
                    </w:rPr>
                  </w:pPr>
                  <w:r w:rsidRPr="00806DF6">
                    <w:rPr>
                      <w:rFonts w:ascii="Arial" w:hAnsi="Arial" w:cs="Arial"/>
                      <w:sz w:val="18"/>
                      <w:szCs w:val="18"/>
                    </w:rPr>
                    <w:t>lub rozszerzony</w:t>
                  </w:r>
                </w:p>
              </w:tc>
            </w:tr>
            <w:tr w:rsidR="00FA01C7" w:rsidRPr="001D78C3" w:rsidTr="00FA01C7">
              <w:trPr>
                <w:trHeight w:val="372"/>
                <w:jc w:val="center"/>
              </w:trPr>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 xml:space="preserve">Waga = </w:t>
                  </w:r>
                  <w:r>
                    <w:rPr>
                      <w:rFonts w:ascii="Arial" w:hAnsi="Arial" w:cs="Arial"/>
                    </w:rPr>
                    <w:t>40</w:t>
                  </w:r>
                  <w:r w:rsidRPr="001D78C3">
                    <w:rPr>
                      <w:rFonts w:ascii="Arial" w:hAnsi="Arial" w:cs="Arial"/>
                    </w:rPr>
                    <w:t>%</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30%</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 xml:space="preserve">Waga = </w:t>
                  </w:r>
                  <w:r>
                    <w:rPr>
                      <w:rFonts w:ascii="Arial" w:hAnsi="Arial" w:cs="Arial"/>
                    </w:rPr>
                    <w:t>30</w:t>
                  </w:r>
                  <w:r w:rsidRPr="001D78C3">
                    <w:rPr>
                      <w:rFonts w:ascii="Arial" w:hAnsi="Arial" w:cs="Arial"/>
                    </w:rPr>
                    <w:t>%</w:t>
                  </w:r>
                </w:p>
              </w:tc>
            </w:tr>
          </w:tbl>
          <w:p w:rsidR="00FA01C7" w:rsidRDefault="00FA01C7" w:rsidP="000709CF">
            <w:pPr>
              <w:spacing w:beforeLines="60" w:before="144" w:after="0" w:line="240" w:lineRule="auto"/>
              <w:ind w:left="708"/>
              <w:rPr>
                <w:rFonts w:ascii="Arial" w:hAnsi="Arial" w:cs="Arial"/>
                <w:bCs/>
              </w:rPr>
            </w:pPr>
            <w:r>
              <w:rPr>
                <w:rFonts w:ascii="Arial" w:hAnsi="Arial" w:cs="Arial"/>
                <w:bCs/>
              </w:rPr>
              <w:t>* N</w:t>
            </w:r>
            <w:r w:rsidRPr="0031539C">
              <w:rPr>
                <w:rFonts w:ascii="Arial" w:hAnsi="Arial" w:cs="Arial"/>
                <w:bCs/>
              </w:rPr>
              <w:t xml:space="preserve">ie </w:t>
            </w:r>
            <w:r>
              <w:rPr>
                <w:rFonts w:ascii="Arial" w:hAnsi="Arial" w:cs="Arial"/>
                <w:bCs/>
              </w:rPr>
              <w:t>można</w:t>
            </w:r>
            <w:r w:rsidRPr="0031539C">
              <w:rPr>
                <w:rFonts w:ascii="Arial" w:hAnsi="Arial" w:cs="Arial"/>
                <w:bCs/>
              </w:rPr>
              <w:t xml:space="preserve"> wskazać dwa razy tego samego przedmiotu na tym samym poziomie.</w:t>
            </w:r>
          </w:p>
          <w:p w:rsidR="000709CF" w:rsidRPr="000709CF" w:rsidRDefault="000709CF" w:rsidP="000709CF">
            <w:pPr>
              <w:spacing w:beforeLines="60" w:before="144" w:after="0" w:line="240" w:lineRule="auto"/>
              <w:ind w:left="708"/>
              <w:rPr>
                <w:rFonts w:ascii="Arial" w:hAnsi="Arial" w:cs="Arial"/>
                <w:bCs/>
              </w:rPr>
            </w:pPr>
            <w:bookmarkStart w:id="0" w:name="_GoBack"/>
            <w:bookmarkEnd w:id="0"/>
          </w:p>
          <w:p w:rsidR="00FA01C7" w:rsidRDefault="00FA01C7" w:rsidP="00FA01C7">
            <w:pPr>
              <w:autoSpaceDE w:val="0"/>
              <w:autoSpaceDN w:val="0"/>
              <w:adjustRightInd w:val="0"/>
              <w:spacing w:before="60" w:afterLines="60" w:after="144"/>
              <w:jc w:val="both"/>
              <w:rPr>
                <w:rFonts w:ascii="Arial" w:hAnsi="Arial" w:cs="Arial"/>
              </w:rPr>
            </w:pPr>
            <w:r>
              <w:rPr>
                <w:rFonts w:ascii="Arial" w:hAnsi="Arial" w:cs="Arial"/>
              </w:rPr>
              <w:t xml:space="preserve">Jeśli egzamin z danego przedmiotu zdawany był na dwóch poziomach, pod uwagę brany będzie wynik korzystniejszy. </w:t>
            </w:r>
          </w:p>
          <w:p w:rsidR="00FA01C7" w:rsidRDefault="00FA01C7" w:rsidP="00FA01C7">
            <w:pPr>
              <w:autoSpaceDE w:val="0"/>
              <w:autoSpaceDN w:val="0"/>
              <w:adjustRightInd w:val="0"/>
              <w:spacing w:before="60" w:afterLines="60" w:after="144"/>
              <w:rPr>
                <w:rFonts w:ascii="Arial" w:hAnsi="Arial" w:cs="Arial"/>
              </w:rPr>
            </w:pPr>
          </w:p>
          <w:p w:rsidR="00FA01C7" w:rsidRPr="000709CF" w:rsidRDefault="00FA01C7" w:rsidP="000709CF">
            <w:pPr>
              <w:autoSpaceDE w:val="0"/>
              <w:autoSpaceDN w:val="0"/>
              <w:adjustRightInd w:val="0"/>
              <w:spacing w:before="60" w:afterLines="60" w:after="144"/>
              <w:rPr>
                <w:rFonts w:ascii="Arial" w:hAnsi="Arial" w:cs="Arial"/>
              </w:rPr>
            </w:pPr>
            <w:r w:rsidRPr="0031539C">
              <w:rPr>
                <w:rFonts w:ascii="Arial" w:hAnsi="Arial" w:cs="Arial"/>
                <w:b/>
                <w:bCs/>
              </w:rPr>
              <w:t>Dla kandydatów ze STARĄ MATURĄ</w:t>
            </w:r>
            <w:r w:rsidRPr="0031539C">
              <w:rPr>
                <w:rFonts w:ascii="Arial" w:hAnsi="Arial" w:cs="Arial"/>
                <w:b/>
                <w:bCs/>
              </w:rPr>
              <w:br/>
            </w:r>
            <w:r w:rsidRPr="0031539C">
              <w:rPr>
                <w:rFonts w:ascii="Arial" w:hAnsi="Arial" w:cs="Arial"/>
              </w:rPr>
              <w:t>Według zasad przyjętych w Uniwersytecie Śląskim</w:t>
            </w:r>
            <w:r>
              <w:rPr>
                <w:rFonts w:ascii="Arial" w:hAnsi="Arial" w:cs="Arial"/>
              </w:rPr>
              <w:t xml:space="preserve"> — określonych w § 13 ust. 2. Uchwały rekrutacyjnej Senatu UŚ.</w:t>
            </w: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Architektura informacji</w:t>
            </w:r>
          </w:p>
        </w:tc>
        <w:tc>
          <w:tcPr>
            <w:tcW w:w="3838" w:type="pct"/>
          </w:tcPr>
          <w:p w:rsidR="00FA01C7" w:rsidRDefault="00FA01C7" w:rsidP="00FA01C7">
            <w:pPr>
              <w:pStyle w:val="Nagwek3"/>
              <w:shd w:val="clear" w:color="auto" w:fill="FFFFFF"/>
              <w:spacing w:before="0" w:after="0"/>
              <w:jc w:val="both"/>
              <w:rPr>
                <w:sz w:val="22"/>
                <w:szCs w:val="22"/>
              </w:rPr>
            </w:pPr>
          </w:p>
          <w:p w:rsidR="00FA01C7" w:rsidRPr="00CD487E" w:rsidRDefault="00FA01C7" w:rsidP="00FA01C7">
            <w:pPr>
              <w:pStyle w:val="Nagwek3"/>
              <w:shd w:val="clear" w:color="auto" w:fill="FFFFFF"/>
              <w:spacing w:before="0" w:after="0"/>
              <w:jc w:val="both"/>
              <w:rPr>
                <w:sz w:val="22"/>
                <w:szCs w:val="22"/>
              </w:rPr>
            </w:pPr>
            <w:r w:rsidRPr="00CD487E">
              <w:rPr>
                <w:sz w:val="22"/>
                <w:szCs w:val="22"/>
              </w:rPr>
              <w:t>Dla kandydatów z NOWĄ MATURĄ od 2010 roku:</w:t>
            </w:r>
          </w:p>
          <w:p w:rsidR="00FA01C7" w:rsidRDefault="00FA01C7" w:rsidP="00FA01C7">
            <w:pPr>
              <w:spacing w:beforeLines="60" w:before="144" w:after="0" w:line="240" w:lineRule="auto"/>
              <w:jc w:val="both"/>
              <w:rPr>
                <w:rFonts w:ascii="Arial" w:hAnsi="Arial" w:cs="Arial"/>
              </w:rPr>
            </w:pPr>
            <w:r w:rsidRPr="00CD487E">
              <w:rPr>
                <w:rFonts w:ascii="Arial" w:hAnsi="Arial" w:cs="Arial"/>
              </w:rPr>
              <w:t xml:space="preserve">Kwalifikacja obejmuje </w:t>
            </w:r>
            <w:r w:rsidRPr="00CD487E">
              <w:rPr>
                <w:rFonts w:ascii="Arial" w:hAnsi="Arial" w:cs="Arial"/>
                <w:b/>
                <w:bCs/>
              </w:rPr>
              <w:t xml:space="preserve">konkurs świadectw dojrzałości </w:t>
            </w:r>
            <w:r w:rsidRPr="00CD487E">
              <w:rPr>
                <w:rFonts w:ascii="Arial" w:hAnsi="Arial" w:cs="Arial"/>
              </w:rPr>
              <w:t>— brane są pod uwagę wyniki ze wskazanych poniżej przedmiotów zdawanych na egzamin</w:t>
            </w:r>
            <w:r>
              <w:rPr>
                <w:rFonts w:ascii="Arial" w:hAnsi="Arial" w:cs="Arial"/>
              </w:rPr>
              <w:t>ie maturalnym w części pisemnej:</w:t>
            </w:r>
          </w:p>
          <w:p w:rsidR="000709CF" w:rsidRPr="00D063AD" w:rsidRDefault="000709CF" w:rsidP="00FA01C7">
            <w:pPr>
              <w:spacing w:beforeLines="60" w:before="144" w:after="0" w:line="240" w:lineRule="auto"/>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2098"/>
              <w:gridCol w:w="2098"/>
              <w:gridCol w:w="2098"/>
            </w:tblGrid>
            <w:tr w:rsidR="00FA01C7" w:rsidRPr="001D78C3" w:rsidTr="00FA01C7">
              <w:trPr>
                <w:trHeight w:val="895"/>
                <w:jc w:val="center"/>
              </w:trPr>
              <w:tc>
                <w:tcPr>
                  <w:tcW w:w="2098" w:type="dxa"/>
                  <w:vAlign w:val="center"/>
                </w:tcPr>
                <w:p w:rsidR="00FA01C7" w:rsidRPr="00124CBD" w:rsidRDefault="00FA01C7" w:rsidP="00FA01C7">
                  <w:pPr>
                    <w:spacing w:after="0" w:line="240" w:lineRule="auto"/>
                    <w:jc w:val="center"/>
                    <w:rPr>
                      <w:rFonts w:ascii="Arial" w:hAnsi="Arial" w:cs="Arial"/>
                      <w:b/>
                    </w:rPr>
                  </w:pPr>
                  <w:r w:rsidRPr="001D78C3">
                    <w:rPr>
                      <w:rFonts w:ascii="Arial" w:hAnsi="Arial" w:cs="Arial"/>
                      <w:b/>
                    </w:rPr>
                    <w:t>Język polski</w:t>
                  </w:r>
                  <w:r w:rsidRPr="001D78C3">
                    <w:rPr>
                      <w:rFonts w:ascii="Arial" w:hAnsi="Arial" w:cs="Arial"/>
                      <w:b/>
                      <w:vertAlign w:val="superscript"/>
                    </w:rPr>
                    <w:t xml:space="preserve"> </w:t>
                  </w:r>
                </w:p>
              </w:tc>
              <w:tc>
                <w:tcPr>
                  <w:tcW w:w="2098" w:type="dxa"/>
                  <w:vAlign w:val="center"/>
                </w:tcPr>
                <w:p w:rsidR="00FA01C7" w:rsidRPr="001D78C3" w:rsidRDefault="00FA01C7" w:rsidP="00FA01C7">
                  <w:pPr>
                    <w:spacing w:after="0" w:line="240" w:lineRule="auto"/>
                    <w:jc w:val="center"/>
                    <w:rPr>
                      <w:rFonts w:ascii="Arial" w:hAnsi="Arial" w:cs="Arial"/>
                      <w:b/>
                    </w:rPr>
                  </w:pPr>
                  <w:r w:rsidRPr="001D78C3">
                    <w:rPr>
                      <w:rFonts w:ascii="Arial" w:hAnsi="Arial" w:cs="Arial"/>
                      <w:b/>
                    </w:rPr>
                    <w:t xml:space="preserve">Język obcy nowożytny </w:t>
                  </w:r>
                </w:p>
              </w:tc>
              <w:tc>
                <w:tcPr>
                  <w:tcW w:w="2098" w:type="dxa"/>
                  <w:vAlign w:val="center"/>
                </w:tcPr>
                <w:p w:rsidR="00FA01C7" w:rsidRPr="001D78C3" w:rsidRDefault="00FA01C7" w:rsidP="00FA01C7">
                  <w:pPr>
                    <w:spacing w:after="0" w:line="240" w:lineRule="auto"/>
                    <w:jc w:val="center"/>
                    <w:rPr>
                      <w:rFonts w:ascii="Arial" w:hAnsi="Arial" w:cs="Arial"/>
                      <w:b/>
                    </w:rPr>
                  </w:pPr>
                  <w:r w:rsidRPr="001D78C3">
                    <w:rPr>
                      <w:rFonts w:ascii="Arial" w:hAnsi="Arial" w:cs="Arial"/>
                      <w:b/>
                    </w:rPr>
                    <w:t xml:space="preserve">Matematyka </w:t>
                  </w:r>
                </w:p>
              </w:tc>
              <w:tc>
                <w:tcPr>
                  <w:tcW w:w="2098" w:type="dxa"/>
                  <w:vAlign w:val="center"/>
                </w:tcPr>
                <w:p w:rsidR="00FA01C7" w:rsidRDefault="00FA01C7" w:rsidP="00FA01C7">
                  <w:pPr>
                    <w:spacing w:after="0" w:line="240" w:lineRule="auto"/>
                    <w:jc w:val="center"/>
                    <w:rPr>
                      <w:rFonts w:ascii="Arial" w:hAnsi="Arial" w:cs="Arial"/>
                      <w:b/>
                    </w:rPr>
                  </w:pPr>
                  <w:r>
                    <w:rPr>
                      <w:rFonts w:ascii="Arial" w:hAnsi="Arial" w:cs="Arial"/>
                      <w:b/>
                    </w:rPr>
                    <w:t xml:space="preserve">Przedmiot </w:t>
                  </w:r>
                </w:p>
                <w:p w:rsidR="00FA01C7" w:rsidRPr="001D78C3" w:rsidRDefault="00FA01C7" w:rsidP="00FA01C7">
                  <w:pPr>
                    <w:spacing w:after="0" w:line="240" w:lineRule="auto"/>
                    <w:jc w:val="center"/>
                    <w:rPr>
                      <w:rFonts w:ascii="Arial" w:hAnsi="Arial" w:cs="Arial"/>
                      <w:b/>
                    </w:rPr>
                  </w:pPr>
                  <w:r>
                    <w:rPr>
                      <w:rFonts w:ascii="Arial" w:hAnsi="Arial" w:cs="Arial"/>
                      <w:b/>
                    </w:rPr>
                    <w:t>do wyboru</w:t>
                  </w:r>
                </w:p>
              </w:tc>
            </w:tr>
            <w:tr w:rsidR="00FA01C7" w:rsidRPr="001D78C3" w:rsidTr="00FA01C7">
              <w:trPr>
                <w:trHeight w:val="377"/>
                <w:jc w:val="center"/>
              </w:trPr>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 xml:space="preserve">Waga = </w:t>
                  </w:r>
                  <w:r>
                    <w:rPr>
                      <w:rFonts w:ascii="Arial" w:hAnsi="Arial" w:cs="Arial"/>
                    </w:rPr>
                    <w:t>3</w:t>
                  </w:r>
                  <w:r w:rsidRPr="001D78C3">
                    <w:rPr>
                      <w:rFonts w:ascii="Arial" w:hAnsi="Arial" w:cs="Arial"/>
                    </w:rPr>
                    <w:t>0%</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20%</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10%</w:t>
                  </w:r>
                </w:p>
              </w:tc>
              <w:tc>
                <w:tcPr>
                  <w:tcW w:w="2098" w:type="dxa"/>
                  <w:vAlign w:val="center"/>
                </w:tcPr>
                <w:p w:rsidR="00FA01C7" w:rsidRPr="001D78C3" w:rsidRDefault="00FA01C7" w:rsidP="00FA01C7">
                  <w:pPr>
                    <w:spacing w:after="0" w:line="240" w:lineRule="auto"/>
                    <w:jc w:val="center"/>
                    <w:rPr>
                      <w:rFonts w:ascii="Arial" w:hAnsi="Arial" w:cs="Arial"/>
                    </w:rPr>
                  </w:pPr>
                  <w:r>
                    <w:rPr>
                      <w:rFonts w:ascii="Arial" w:hAnsi="Arial" w:cs="Arial"/>
                    </w:rPr>
                    <w:t>Waga = 4</w:t>
                  </w:r>
                  <w:r w:rsidRPr="001D78C3">
                    <w:rPr>
                      <w:rFonts w:ascii="Arial" w:hAnsi="Arial" w:cs="Arial"/>
                    </w:rPr>
                    <w:t>0%</w:t>
                  </w:r>
                </w:p>
              </w:tc>
            </w:tr>
          </w:tbl>
          <w:p w:rsidR="00FA01C7" w:rsidRDefault="00FA01C7" w:rsidP="00FA01C7">
            <w:pPr>
              <w:pStyle w:val="Nagwek3"/>
              <w:shd w:val="clear" w:color="auto" w:fill="FFFFFF"/>
              <w:spacing w:before="0" w:after="0"/>
              <w:rPr>
                <w:sz w:val="22"/>
                <w:szCs w:val="22"/>
              </w:rPr>
            </w:pPr>
          </w:p>
          <w:p w:rsidR="00FA01C7" w:rsidRPr="00CD487E" w:rsidRDefault="00FA01C7" w:rsidP="00FA01C7">
            <w:pPr>
              <w:pStyle w:val="Nagwek3"/>
              <w:shd w:val="clear" w:color="auto" w:fill="FFFFFF"/>
              <w:spacing w:before="0" w:after="0"/>
              <w:rPr>
                <w:sz w:val="22"/>
                <w:szCs w:val="22"/>
              </w:rPr>
            </w:pPr>
            <w:r w:rsidRPr="00CD487E">
              <w:rPr>
                <w:sz w:val="22"/>
                <w:szCs w:val="22"/>
              </w:rPr>
              <w:t>Dla kandydatów z NOWĄ MATURĄ do 2009 roku:</w:t>
            </w:r>
          </w:p>
          <w:p w:rsidR="00FA01C7" w:rsidRDefault="00FA01C7" w:rsidP="00FA01C7">
            <w:pPr>
              <w:spacing w:beforeLines="60" w:before="144" w:after="0" w:line="240" w:lineRule="auto"/>
              <w:rPr>
                <w:rFonts w:ascii="Arial" w:hAnsi="Arial" w:cs="Arial"/>
              </w:rPr>
            </w:pPr>
            <w:r w:rsidRPr="00CD487E">
              <w:rPr>
                <w:rFonts w:ascii="Arial" w:hAnsi="Arial" w:cs="Arial"/>
              </w:rPr>
              <w:t xml:space="preserve">Kwalifikacja obejmuje </w:t>
            </w:r>
            <w:r w:rsidRPr="00CD487E">
              <w:rPr>
                <w:rFonts w:ascii="Arial" w:hAnsi="Arial" w:cs="Arial"/>
                <w:b/>
                <w:bCs/>
              </w:rPr>
              <w:t xml:space="preserve">konkurs świadectw dojrzałości </w:t>
            </w:r>
            <w:r w:rsidRPr="00CD487E">
              <w:rPr>
                <w:rFonts w:ascii="Arial" w:hAnsi="Arial" w:cs="Arial"/>
              </w:rPr>
              <w:t xml:space="preserve">— brane są pod uwagę wyniki ze wskazanych poniżej przedmiotów zdawanych na egzaminie maturalnym w części </w:t>
            </w:r>
            <w:r>
              <w:rPr>
                <w:rFonts w:ascii="Arial" w:hAnsi="Arial" w:cs="Arial"/>
              </w:rPr>
              <w:t>pisemnej:</w:t>
            </w:r>
          </w:p>
          <w:p w:rsidR="000709CF" w:rsidRPr="00CD487E" w:rsidRDefault="000709CF" w:rsidP="00FA01C7">
            <w:pPr>
              <w:spacing w:beforeLines="60" w:before="144" w:after="0" w:line="240" w:lineRule="auto"/>
              <w:rPr>
                <w:rFonts w:ascii="Arial" w:hAnsi="Arial" w:cs="Arial"/>
              </w:rPr>
            </w:pP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2098"/>
              <w:gridCol w:w="2098"/>
            </w:tblGrid>
            <w:tr w:rsidR="00FA01C7" w:rsidRPr="001D78C3" w:rsidTr="00FA01C7">
              <w:trPr>
                <w:trHeight w:val="895"/>
                <w:jc w:val="center"/>
              </w:trPr>
              <w:tc>
                <w:tcPr>
                  <w:tcW w:w="2098" w:type="dxa"/>
                  <w:vAlign w:val="center"/>
                </w:tcPr>
                <w:p w:rsidR="00FA01C7" w:rsidRDefault="00FA01C7" w:rsidP="00FA01C7">
                  <w:pPr>
                    <w:spacing w:after="0" w:line="240" w:lineRule="auto"/>
                    <w:jc w:val="center"/>
                    <w:rPr>
                      <w:rFonts w:ascii="Arial" w:hAnsi="Arial" w:cs="Arial"/>
                      <w:b/>
                    </w:rPr>
                  </w:pPr>
                  <w:r w:rsidRPr="001D78C3">
                    <w:rPr>
                      <w:rFonts w:ascii="Arial" w:hAnsi="Arial" w:cs="Arial"/>
                      <w:b/>
                    </w:rPr>
                    <w:t>Język polski</w:t>
                  </w:r>
                </w:p>
                <w:p w:rsidR="00FA01C7" w:rsidRPr="00321720" w:rsidRDefault="00FA01C7" w:rsidP="00FA01C7">
                  <w:pPr>
                    <w:spacing w:after="0" w:line="240" w:lineRule="auto"/>
                    <w:jc w:val="center"/>
                    <w:rPr>
                      <w:rFonts w:ascii="Arial" w:hAnsi="Arial" w:cs="Arial"/>
                    </w:rPr>
                  </w:pPr>
                </w:p>
                <w:p w:rsidR="00FA01C7" w:rsidRPr="00321720" w:rsidRDefault="00FA01C7" w:rsidP="00FA01C7">
                  <w:pPr>
                    <w:spacing w:after="0" w:line="240" w:lineRule="auto"/>
                    <w:jc w:val="center"/>
                    <w:rPr>
                      <w:rFonts w:ascii="Arial" w:hAnsi="Arial" w:cs="Arial"/>
                      <w:sz w:val="18"/>
                      <w:szCs w:val="18"/>
                    </w:rPr>
                  </w:pPr>
                  <w:r>
                    <w:rPr>
                      <w:rFonts w:ascii="Arial" w:hAnsi="Arial" w:cs="Arial"/>
                      <w:sz w:val="18"/>
                      <w:szCs w:val="18"/>
                    </w:rPr>
                    <w:t>p</w:t>
                  </w:r>
                  <w:r w:rsidRPr="00321720">
                    <w:rPr>
                      <w:rFonts w:ascii="Arial" w:hAnsi="Arial" w:cs="Arial"/>
                      <w:sz w:val="18"/>
                      <w:szCs w:val="18"/>
                    </w:rPr>
                    <w:t>oziom podstawowy</w:t>
                  </w:r>
                </w:p>
                <w:p w:rsidR="00FA01C7" w:rsidRPr="001D78C3" w:rsidRDefault="00FA01C7" w:rsidP="00FA01C7">
                  <w:pPr>
                    <w:spacing w:after="0" w:line="240" w:lineRule="auto"/>
                    <w:jc w:val="center"/>
                    <w:rPr>
                      <w:rFonts w:ascii="Arial" w:hAnsi="Arial" w:cs="Arial"/>
                      <w:b/>
                      <w:vertAlign w:val="superscript"/>
                    </w:rPr>
                  </w:pPr>
                  <w:r>
                    <w:rPr>
                      <w:rFonts w:ascii="Arial" w:hAnsi="Arial" w:cs="Arial"/>
                      <w:sz w:val="18"/>
                      <w:szCs w:val="18"/>
                    </w:rPr>
                    <w:t>l</w:t>
                  </w:r>
                  <w:r w:rsidRPr="00321720">
                    <w:rPr>
                      <w:rFonts w:ascii="Arial" w:hAnsi="Arial" w:cs="Arial"/>
                      <w:sz w:val="18"/>
                      <w:szCs w:val="18"/>
                    </w:rPr>
                    <w:t>ub rozszerzony</w:t>
                  </w:r>
                </w:p>
              </w:tc>
              <w:tc>
                <w:tcPr>
                  <w:tcW w:w="2098" w:type="dxa"/>
                  <w:vAlign w:val="center"/>
                </w:tcPr>
                <w:p w:rsidR="00FA01C7" w:rsidRDefault="00FA01C7" w:rsidP="00FA01C7">
                  <w:pPr>
                    <w:spacing w:after="0" w:line="240" w:lineRule="auto"/>
                    <w:jc w:val="center"/>
                    <w:rPr>
                      <w:rFonts w:ascii="Arial" w:hAnsi="Arial" w:cs="Arial"/>
                      <w:b/>
                    </w:rPr>
                  </w:pPr>
                  <w:r w:rsidRPr="001D78C3">
                    <w:rPr>
                      <w:rFonts w:ascii="Arial" w:hAnsi="Arial" w:cs="Arial"/>
                      <w:b/>
                    </w:rPr>
                    <w:t xml:space="preserve">Język obcy nowożytny </w:t>
                  </w:r>
                </w:p>
                <w:p w:rsidR="00FA01C7" w:rsidRPr="00321720" w:rsidRDefault="00FA01C7" w:rsidP="00FA01C7">
                  <w:pPr>
                    <w:spacing w:after="0" w:line="240" w:lineRule="auto"/>
                    <w:jc w:val="center"/>
                    <w:rPr>
                      <w:rFonts w:ascii="Arial" w:hAnsi="Arial" w:cs="Arial"/>
                    </w:rPr>
                  </w:pPr>
                </w:p>
                <w:p w:rsidR="00FA01C7" w:rsidRPr="00321720" w:rsidRDefault="00FA01C7" w:rsidP="00FA01C7">
                  <w:pPr>
                    <w:spacing w:after="0" w:line="240" w:lineRule="auto"/>
                    <w:jc w:val="center"/>
                    <w:rPr>
                      <w:rFonts w:ascii="Arial" w:hAnsi="Arial" w:cs="Arial"/>
                      <w:sz w:val="18"/>
                      <w:szCs w:val="18"/>
                    </w:rPr>
                  </w:pPr>
                  <w:r>
                    <w:rPr>
                      <w:rFonts w:ascii="Arial" w:hAnsi="Arial" w:cs="Arial"/>
                      <w:sz w:val="18"/>
                      <w:szCs w:val="18"/>
                    </w:rPr>
                    <w:t>p</w:t>
                  </w:r>
                  <w:r w:rsidRPr="00321720">
                    <w:rPr>
                      <w:rFonts w:ascii="Arial" w:hAnsi="Arial" w:cs="Arial"/>
                      <w:sz w:val="18"/>
                      <w:szCs w:val="18"/>
                    </w:rPr>
                    <w:t>oziom podstawowy</w:t>
                  </w:r>
                </w:p>
                <w:p w:rsidR="00FA01C7" w:rsidRPr="001D78C3" w:rsidRDefault="00FA01C7" w:rsidP="00FA01C7">
                  <w:pPr>
                    <w:spacing w:after="0" w:line="240" w:lineRule="auto"/>
                    <w:jc w:val="center"/>
                    <w:rPr>
                      <w:rFonts w:ascii="Arial" w:hAnsi="Arial" w:cs="Arial"/>
                      <w:b/>
                    </w:rPr>
                  </w:pPr>
                  <w:r>
                    <w:rPr>
                      <w:rFonts w:ascii="Arial" w:hAnsi="Arial" w:cs="Arial"/>
                      <w:sz w:val="18"/>
                      <w:szCs w:val="18"/>
                    </w:rPr>
                    <w:t>l</w:t>
                  </w:r>
                  <w:r w:rsidRPr="00321720">
                    <w:rPr>
                      <w:rFonts w:ascii="Arial" w:hAnsi="Arial" w:cs="Arial"/>
                      <w:sz w:val="18"/>
                      <w:szCs w:val="18"/>
                    </w:rPr>
                    <w:t>ub rozszerzony</w:t>
                  </w:r>
                </w:p>
              </w:tc>
              <w:tc>
                <w:tcPr>
                  <w:tcW w:w="2098" w:type="dxa"/>
                  <w:vAlign w:val="center"/>
                </w:tcPr>
                <w:p w:rsidR="00FA01C7" w:rsidRDefault="00FA01C7" w:rsidP="00FA01C7">
                  <w:pPr>
                    <w:spacing w:after="0" w:line="240" w:lineRule="auto"/>
                    <w:jc w:val="center"/>
                    <w:rPr>
                      <w:rFonts w:ascii="Arial" w:hAnsi="Arial" w:cs="Arial"/>
                      <w:b/>
                    </w:rPr>
                  </w:pPr>
                  <w:r>
                    <w:rPr>
                      <w:rFonts w:ascii="Arial" w:hAnsi="Arial" w:cs="Arial"/>
                      <w:b/>
                    </w:rPr>
                    <w:t xml:space="preserve">Przedmiot </w:t>
                  </w:r>
                </w:p>
                <w:p w:rsidR="00FA01C7" w:rsidRDefault="00FA01C7" w:rsidP="00FA01C7">
                  <w:pPr>
                    <w:spacing w:after="0" w:line="240" w:lineRule="auto"/>
                    <w:jc w:val="center"/>
                    <w:rPr>
                      <w:rFonts w:ascii="Arial" w:hAnsi="Arial" w:cs="Arial"/>
                      <w:b/>
                    </w:rPr>
                  </w:pPr>
                  <w:r>
                    <w:rPr>
                      <w:rFonts w:ascii="Arial" w:hAnsi="Arial" w:cs="Arial"/>
                      <w:b/>
                    </w:rPr>
                    <w:t>do wyboru*</w:t>
                  </w:r>
                </w:p>
                <w:p w:rsidR="00FA01C7" w:rsidRPr="00321720" w:rsidRDefault="00FA01C7" w:rsidP="00FA01C7">
                  <w:pPr>
                    <w:spacing w:after="0" w:line="240" w:lineRule="auto"/>
                    <w:jc w:val="center"/>
                    <w:rPr>
                      <w:rFonts w:ascii="Arial" w:hAnsi="Arial" w:cs="Arial"/>
                    </w:rPr>
                  </w:pPr>
                </w:p>
                <w:p w:rsidR="00FA01C7" w:rsidRPr="00321720" w:rsidRDefault="00FA01C7" w:rsidP="00FA01C7">
                  <w:pPr>
                    <w:spacing w:after="0" w:line="240" w:lineRule="auto"/>
                    <w:jc w:val="center"/>
                    <w:rPr>
                      <w:rFonts w:ascii="Arial" w:hAnsi="Arial" w:cs="Arial"/>
                      <w:sz w:val="18"/>
                      <w:szCs w:val="18"/>
                    </w:rPr>
                  </w:pPr>
                  <w:r>
                    <w:rPr>
                      <w:rFonts w:ascii="Arial" w:hAnsi="Arial" w:cs="Arial"/>
                      <w:sz w:val="18"/>
                      <w:szCs w:val="18"/>
                    </w:rPr>
                    <w:t>p</w:t>
                  </w:r>
                  <w:r w:rsidRPr="00321720">
                    <w:rPr>
                      <w:rFonts w:ascii="Arial" w:hAnsi="Arial" w:cs="Arial"/>
                      <w:sz w:val="18"/>
                      <w:szCs w:val="18"/>
                    </w:rPr>
                    <w:t>oziom podstawowy</w:t>
                  </w:r>
                </w:p>
                <w:p w:rsidR="00FA01C7" w:rsidRPr="001D78C3" w:rsidRDefault="00FA01C7" w:rsidP="00FA01C7">
                  <w:pPr>
                    <w:spacing w:after="0" w:line="240" w:lineRule="auto"/>
                    <w:jc w:val="center"/>
                    <w:rPr>
                      <w:rFonts w:ascii="Arial" w:hAnsi="Arial" w:cs="Arial"/>
                      <w:b/>
                    </w:rPr>
                  </w:pPr>
                  <w:r>
                    <w:rPr>
                      <w:rFonts w:ascii="Arial" w:hAnsi="Arial" w:cs="Arial"/>
                      <w:sz w:val="18"/>
                      <w:szCs w:val="18"/>
                    </w:rPr>
                    <w:t>l</w:t>
                  </w:r>
                  <w:r w:rsidRPr="00321720">
                    <w:rPr>
                      <w:rFonts w:ascii="Arial" w:hAnsi="Arial" w:cs="Arial"/>
                      <w:sz w:val="18"/>
                      <w:szCs w:val="18"/>
                    </w:rPr>
                    <w:t>ub rozszerzony</w:t>
                  </w:r>
                </w:p>
              </w:tc>
            </w:tr>
            <w:tr w:rsidR="00FA01C7" w:rsidRPr="001D78C3" w:rsidTr="00FA01C7">
              <w:trPr>
                <w:trHeight w:val="372"/>
                <w:jc w:val="center"/>
              </w:trPr>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35%</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30%</w:t>
                  </w:r>
                </w:p>
              </w:tc>
              <w:tc>
                <w:tcPr>
                  <w:tcW w:w="2098" w:type="dxa"/>
                  <w:vAlign w:val="center"/>
                </w:tcPr>
                <w:p w:rsidR="00FA01C7" w:rsidRPr="001D78C3" w:rsidRDefault="00FA01C7" w:rsidP="00FA01C7">
                  <w:pPr>
                    <w:spacing w:after="0" w:line="240" w:lineRule="auto"/>
                    <w:jc w:val="center"/>
                    <w:rPr>
                      <w:rFonts w:ascii="Arial" w:hAnsi="Arial" w:cs="Arial"/>
                    </w:rPr>
                  </w:pPr>
                  <w:r w:rsidRPr="001D78C3">
                    <w:rPr>
                      <w:rFonts w:ascii="Arial" w:hAnsi="Arial" w:cs="Arial"/>
                    </w:rPr>
                    <w:t>Waga = 35%</w:t>
                  </w:r>
                </w:p>
              </w:tc>
            </w:tr>
          </w:tbl>
          <w:p w:rsidR="00FA01C7" w:rsidRPr="00CD487E" w:rsidRDefault="00FA01C7" w:rsidP="00FA01C7">
            <w:pPr>
              <w:spacing w:after="0" w:line="240" w:lineRule="auto"/>
              <w:jc w:val="center"/>
              <w:rPr>
                <w:rFonts w:ascii="Arial" w:hAnsi="Arial" w:cs="Arial"/>
              </w:rPr>
            </w:pPr>
          </w:p>
          <w:p w:rsidR="00FA01C7" w:rsidRPr="000709CF" w:rsidRDefault="00FA01C7" w:rsidP="000709CF">
            <w:pPr>
              <w:spacing w:beforeLines="60" w:before="144" w:after="0" w:line="240" w:lineRule="auto"/>
              <w:ind w:left="708"/>
              <w:rPr>
                <w:rFonts w:ascii="Arial" w:hAnsi="Arial" w:cs="Arial"/>
                <w:bCs/>
              </w:rPr>
            </w:pPr>
            <w:r>
              <w:rPr>
                <w:rFonts w:ascii="Arial" w:hAnsi="Arial" w:cs="Arial"/>
                <w:bCs/>
              </w:rPr>
              <w:t>* N</w:t>
            </w:r>
            <w:r w:rsidRPr="0031539C">
              <w:rPr>
                <w:rFonts w:ascii="Arial" w:hAnsi="Arial" w:cs="Arial"/>
                <w:bCs/>
              </w:rPr>
              <w:t xml:space="preserve">ie </w:t>
            </w:r>
            <w:r>
              <w:rPr>
                <w:rFonts w:ascii="Arial" w:hAnsi="Arial" w:cs="Arial"/>
                <w:bCs/>
              </w:rPr>
              <w:t>można</w:t>
            </w:r>
            <w:r w:rsidRPr="0031539C">
              <w:rPr>
                <w:rFonts w:ascii="Arial" w:hAnsi="Arial" w:cs="Arial"/>
                <w:bCs/>
              </w:rPr>
              <w:t xml:space="preserve"> wskazać dwa razy tego samego przedmiotu na tym samym poziomie.</w:t>
            </w:r>
          </w:p>
          <w:p w:rsidR="00FA01C7" w:rsidRPr="000709CF" w:rsidRDefault="00FA01C7" w:rsidP="000709CF">
            <w:pPr>
              <w:autoSpaceDE w:val="0"/>
              <w:autoSpaceDN w:val="0"/>
              <w:adjustRightInd w:val="0"/>
              <w:spacing w:before="60" w:afterLines="60" w:after="144"/>
              <w:rPr>
                <w:rFonts w:ascii="Arial" w:hAnsi="Arial" w:cs="Arial"/>
              </w:rPr>
            </w:pPr>
            <w:r>
              <w:rPr>
                <w:rFonts w:ascii="Arial" w:hAnsi="Arial" w:cs="Arial"/>
              </w:rPr>
              <w:t xml:space="preserve">Jeśli egzamin z danego przedmiotu zdawany był na dwóch poziomach, pod uwagę brany będzie wynik korzystniejszy. </w:t>
            </w:r>
          </w:p>
          <w:p w:rsidR="00FA01C7" w:rsidRPr="00CD487E" w:rsidRDefault="00FA01C7" w:rsidP="00FA01C7">
            <w:pPr>
              <w:spacing w:after="0" w:line="240" w:lineRule="auto"/>
              <w:rPr>
                <w:rFonts w:ascii="Arial" w:hAnsi="Arial" w:cs="Arial"/>
                <w:bCs/>
              </w:rPr>
            </w:pPr>
          </w:p>
          <w:p w:rsidR="00FA01C7" w:rsidRPr="00CD487E" w:rsidRDefault="00FA01C7" w:rsidP="00FA01C7">
            <w:pPr>
              <w:spacing w:after="0" w:line="240" w:lineRule="auto"/>
              <w:rPr>
                <w:rFonts w:ascii="Arial" w:hAnsi="Arial" w:cs="Arial"/>
                <w:b/>
                <w:bCs/>
              </w:rPr>
            </w:pPr>
            <w:r w:rsidRPr="00CD487E">
              <w:rPr>
                <w:rFonts w:ascii="Arial" w:hAnsi="Arial" w:cs="Arial"/>
                <w:b/>
                <w:bCs/>
              </w:rPr>
              <w:t>Dla kandydatów ze STARĄ MATURĄ:</w:t>
            </w:r>
          </w:p>
          <w:p w:rsidR="00FA01C7" w:rsidRDefault="00FA01C7" w:rsidP="00FA01C7">
            <w:pPr>
              <w:autoSpaceDE w:val="0"/>
              <w:autoSpaceDN w:val="0"/>
              <w:adjustRightInd w:val="0"/>
              <w:spacing w:before="60" w:afterLines="60" w:after="144"/>
              <w:rPr>
                <w:rFonts w:ascii="Arial" w:hAnsi="Arial" w:cs="Arial"/>
              </w:rPr>
            </w:pPr>
            <w:r w:rsidRPr="0031539C">
              <w:rPr>
                <w:rFonts w:ascii="Arial" w:hAnsi="Arial" w:cs="Arial"/>
              </w:rPr>
              <w:t>Według zasad przyjętych w Uniwersytecie Śląskim</w:t>
            </w:r>
            <w:r>
              <w:rPr>
                <w:rFonts w:ascii="Arial" w:hAnsi="Arial" w:cs="Arial"/>
              </w:rPr>
              <w:t xml:space="preserve"> — określonych w § 13 ust. 2. Uchwały rekrutacyjnej Senatu UŚ.</w:t>
            </w:r>
          </w:p>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lastRenderedPageBreak/>
              <w:t>Arteterapia</w:t>
            </w:r>
            <w:proofErr w:type="spellEnd"/>
          </w:p>
        </w:tc>
        <w:tc>
          <w:tcPr>
            <w:tcW w:w="3838" w:type="pct"/>
          </w:tcPr>
          <w:p w:rsidR="00272623" w:rsidRDefault="00272623" w:rsidP="00272623">
            <w:pPr>
              <w:spacing w:after="0" w:line="240" w:lineRule="auto"/>
              <w:rPr>
                <w:rFonts w:ascii="Arial" w:eastAsia="Times New Roman" w:hAnsi="Arial" w:cs="Arial"/>
                <w:b/>
                <w:bCs/>
                <w:color w:val="000000"/>
                <w:lang w:eastAsia="pl-PL"/>
              </w:rPr>
            </w:pP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b/>
                <w:bCs/>
                <w:color w:val="000000"/>
                <w:lang w:eastAsia="pl-PL"/>
              </w:rPr>
              <w:t xml:space="preserve">Dla kandydatów z NOWĄ MATURĄ: </w:t>
            </w:r>
          </w:p>
          <w:p w:rsidR="00272623" w:rsidRP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 xml:space="preserve">Konkurs świadectw dojrzałości, w którym brana jest pod uwagę średnia arytmetyczna przeliczonych na punkty rankingowe wyników części ustnej i pisemnej egzaminu maturalnego z </w:t>
            </w:r>
            <w:r w:rsidRPr="00272623">
              <w:rPr>
                <w:rFonts w:ascii="Arial" w:eastAsia="Times New Roman" w:hAnsi="Arial" w:cs="Arial"/>
                <w:b/>
                <w:bCs/>
                <w:color w:val="000000"/>
                <w:lang w:eastAsia="pl-PL"/>
              </w:rPr>
              <w:t xml:space="preserve">języka angielskiego </w:t>
            </w:r>
            <w:r w:rsidRPr="00272623">
              <w:rPr>
                <w:rFonts w:ascii="Arial" w:eastAsia="Times New Roman" w:hAnsi="Arial" w:cs="Arial"/>
                <w:bCs/>
                <w:color w:val="000000"/>
                <w:lang w:eastAsia="pl-PL"/>
              </w:rPr>
              <w:t>(jako języka obcego nowożytnego).</w:t>
            </w:r>
          </w:p>
          <w:p w:rsidR="00272623" w:rsidRP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Zasady przeliczania wyrażonych procentowo wyników egzaminu maturalnego na punkty rankingowe:</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pisemnego egzaminu maturalnego na poziomie podstawowym przelicza się na punkty w relacji 1% = 1 pkt.</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pisemnego egzaminu maturalnego na poziomie rozszerzonym przelicza się na punkty w relacji 1% = 2 pkt.</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ustnego egzaminu maturalnego przelicza się na punkty w relacji 1% = 1pkt.</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pisemnego i ustnego egzaminu maturalnego na poziomie dwujęzycznym przelicza się na punkty w relacji 1% = 2,5 pkt.</w:t>
            </w:r>
          </w:p>
          <w:p w:rsidR="00272623" w:rsidRP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W przypadku, gdy na świadectwie dojrzałości widnieją wyniki egzaminów na różnych poziomach oraz gdy kandydat poprawiał wynik matury, brany jest pod uwagę wynik, który po przeliczeniu daje większą liczbę punktów (korzystniejszy dla kandydata).</w:t>
            </w:r>
          </w:p>
          <w:p w:rsidR="00272623" w:rsidRPr="00272623" w:rsidRDefault="00272623" w:rsidP="00272623">
            <w:pPr>
              <w:spacing w:after="0" w:line="240" w:lineRule="auto"/>
              <w:rPr>
                <w:rFonts w:ascii="Arial" w:eastAsia="Times New Roman" w:hAnsi="Arial" w:cs="Arial"/>
                <w:bCs/>
                <w:color w:val="000000"/>
                <w:lang w:eastAsia="pl-PL"/>
              </w:rPr>
            </w:pPr>
          </w:p>
          <w:p w:rsidR="00272623" w:rsidRPr="00272623" w:rsidRDefault="00272623" w:rsidP="00272623">
            <w:pPr>
              <w:spacing w:after="0" w:line="240" w:lineRule="auto"/>
              <w:rPr>
                <w:rFonts w:ascii="Arial" w:eastAsia="Times New Roman" w:hAnsi="Arial" w:cs="Arial"/>
                <w:b/>
                <w:bCs/>
                <w:color w:val="000000"/>
                <w:lang w:eastAsia="pl-PL"/>
              </w:rPr>
            </w:pPr>
            <w:r w:rsidRPr="00272623">
              <w:rPr>
                <w:rFonts w:ascii="Arial" w:eastAsia="Times New Roman" w:hAnsi="Arial" w:cs="Arial"/>
                <w:b/>
                <w:bCs/>
                <w:color w:val="000000"/>
                <w:lang w:eastAsia="pl-PL"/>
              </w:rPr>
              <w:t>Dla kandydatów z MATURĄ MIĘDZYNARODOWĄ — DYPLOM IB:</w:t>
            </w:r>
          </w:p>
          <w:p w:rsid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bCs/>
                <w:color w:val="000000"/>
                <w:lang w:eastAsia="pl-PL"/>
              </w:rPr>
              <w:t xml:space="preserve">Wynik egzaminu z języka angielskiego jako języka obcego (Język B), </w:t>
            </w:r>
            <w:r w:rsidRPr="00272623">
              <w:rPr>
                <w:rFonts w:ascii="Arial" w:eastAsia="Times New Roman" w:hAnsi="Arial" w:cs="Arial"/>
                <w:color w:val="000000"/>
                <w:lang w:eastAsia="pl-PL"/>
              </w:rPr>
              <w:t>przeliczony zostanie proporcjonalnie na skalę „nowej matury” w sposób następujący:</w:t>
            </w:r>
          </w:p>
          <w:p w:rsidR="00272623" w:rsidRPr="00272623" w:rsidRDefault="00272623" w:rsidP="00272623">
            <w:pPr>
              <w:spacing w:after="0" w:line="240" w:lineRule="auto"/>
              <w:rPr>
                <w:rFonts w:ascii="Arial" w:eastAsia="Times New Roman" w:hAnsi="Arial" w:cs="Arial"/>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712"/>
              <w:gridCol w:w="3022"/>
            </w:tblGrid>
            <w:tr w:rsidR="00272623" w:rsidRPr="00272623" w:rsidTr="000709CF">
              <w:trPr>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Dyplom IB</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Poziom podstawowy (SL)</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Poziom rozszerzony (HL)</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7</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100%</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100%</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lastRenderedPageBreak/>
                    <w:t>6</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86%</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85,71%</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5</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72%</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71,43%</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4</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58%</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57,14%</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3</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44%</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42,86%</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2</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30%</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28,57%</w:t>
                  </w:r>
                </w:p>
              </w:tc>
            </w:tr>
            <w:tr w:rsidR="00272623" w:rsidRPr="00272623" w:rsidTr="000709CF">
              <w:trPr>
                <w:trHeight w:val="283"/>
                <w:jc w:val="center"/>
              </w:trPr>
              <w:tc>
                <w:tcPr>
                  <w:tcW w:w="2303"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1</w:t>
                  </w:r>
                </w:p>
              </w:tc>
              <w:tc>
                <w:tcPr>
                  <w:tcW w:w="271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0%</w:t>
                  </w:r>
                </w:p>
              </w:tc>
              <w:tc>
                <w:tcPr>
                  <w:tcW w:w="3022" w:type="dxa"/>
                  <w:shd w:val="clear" w:color="auto" w:fill="auto"/>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14,29%</w:t>
                  </w:r>
                </w:p>
              </w:tc>
            </w:tr>
          </w:tbl>
          <w:p w:rsidR="000709CF" w:rsidRDefault="000709CF" w:rsidP="00272623">
            <w:pPr>
              <w:spacing w:after="0" w:line="240" w:lineRule="auto"/>
              <w:rPr>
                <w:rFonts w:ascii="Arial" w:eastAsia="Times New Roman" w:hAnsi="Arial" w:cs="Arial"/>
                <w:bCs/>
                <w:color w:val="000000"/>
                <w:lang w:eastAsia="pl-PL"/>
              </w:rPr>
            </w:pP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bCs/>
                <w:color w:val="000000"/>
                <w:lang w:eastAsia="pl-PL"/>
              </w:rPr>
              <w:t>Uzyskany przez kandydata wynik procentowy zostanie przeliczony na punkty rankingowe według następujących zasad:</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egzaminu maturalnego IB na poziomie podstawowym (SL) przelicza się na punkty w relacji 1% = 1 pkt.</w:t>
            </w:r>
          </w:p>
          <w:p w:rsidR="00272623" w:rsidRPr="00272623" w:rsidRDefault="00272623" w:rsidP="00272623">
            <w:pPr>
              <w:numPr>
                <w:ilvl w:val="0"/>
                <w:numId w:val="5"/>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z egzaminu maturalnego IB na poziomie rozszerzonym (HL) przelicza się na punkty w relacji 1% = 1,5 pkt.</w:t>
            </w:r>
          </w:p>
          <w:p w:rsidR="00272623" w:rsidRPr="00272623" w:rsidRDefault="00272623" w:rsidP="00272623">
            <w:pPr>
              <w:spacing w:after="0" w:line="240" w:lineRule="auto"/>
              <w:rPr>
                <w:rFonts w:ascii="Arial" w:eastAsia="Times New Roman" w:hAnsi="Arial" w:cs="Arial"/>
                <w:color w:val="000000"/>
                <w:u w:val="single"/>
                <w:lang w:eastAsia="pl-PL"/>
              </w:rPr>
            </w:pPr>
          </w:p>
          <w:p w:rsidR="00272623" w:rsidRPr="00272623" w:rsidRDefault="00272623" w:rsidP="00272623">
            <w:pPr>
              <w:spacing w:after="0" w:line="240" w:lineRule="auto"/>
              <w:rPr>
                <w:rFonts w:ascii="Arial" w:eastAsia="Times New Roman" w:hAnsi="Arial" w:cs="Arial"/>
                <w:b/>
                <w:color w:val="000000"/>
                <w:lang w:eastAsia="pl-PL"/>
              </w:rPr>
            </w:pPr>
            <w:r w:rsidRPr="00272623">
              <w:rPr>
                <w:rFonts w:ascii="Arial" w:eastAsia="Times New Roman" w:hAnsi="Arial" w:cs="Arial"/>
                <w:b/>
                <w:color w:val="000000"/>
                <w:lang w:eastAsia="pl-PL"/>
              </w:rPr>
              <w:t>Dla kandydatów posiadających Kartę Polaka</w:t>
            </w: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 xml:space="preserve">Wyniki egzaminu maturalnego z języka angielskiego jako języka obcego nowożytnego, zostaną przeliczone na wyniki procentowe zgodnie z proponowanym przez Uniwersytet Śląski sposobem przeliczania ocen ze </w:t>
            </w:r>
            <w:proofErr w:type="spellStart"/>
            <w:r w:rsidRPr="00272623">
              <w:rPr>
                <w:rFonts w:ascii="Arial" w:eastAsia="Times New Roman" w:hAnsi="Arial" w:cs="Arial"/>
                <w:color w:val="000000"/>
                <w:lang w:eastAsia="pl-PL"/>
              </w:rPr>
              <w:t>skal</w:t>
            </w:r>
            <w:proofErr w:type="spellEnd"/>
            <w:r w:rsidRPr="00272623">
              <w:rPr>
                <w:rFonts w:ascii="Arial" w:eastAsia="Times New Roman" w:hAnsi="Arial" w:cs="Arial"/>
                <w:color w:val="000000"/>
                <w:lang w:eastAsia="pl-PL"/>
              </w:rPr>
              <w:t xml:space="preserve"> zagranicznych na polską. Uzyskane wartości procentowe zostaną przeliczone na punkty rankingowe w relacji 1%=1,5 pkt. </w:t>
            </w: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 xml:space="preserve">Wymagana jest udokumentowana znajomość języka polskiego na poziomie C1 według CEFR (zaawansowanym). </w:t>
            </w:r>
          </w:p>
          <w:p w:rsidR="00272623" w:rsidRPr="00272623" w:rsidRDefault="00272623" w:rsidP="00272623">
            <w:pPr>
              <w:spacing w:after="0" w:line="240" w:lineRule="auto"/>
              <w:rPr>
                <w:rFonts w:ascii="Arial" w:eastAsia="Times New Roman" w:hAnsi="Arial" w:cs="Arial"/>
                <w:b/>
                <w:color w:val="000000"/>
                <w:lang w:eastAsia="pl-PL"/>
              </w:rPr>
            </w:pP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b/>
                <w:color w:val="000000"/>
                <w:lang w:eastAsia="pl-PL"/>
              </w:rPr>
              <w:t xml:space="preserve">Dla kandydatów — obywateli polskich, którzy ukończyli szkołę średnią za granicą lub cudzoziemców podejmujących studia na zasadach obowiązujących obywateli polskich </w:t>
            </w:r>
            <w:r w:rsidRPr="00272623">
              <w:rPr>
                <w:rFonts w:ascii="Arial" w:eastAsia="Times New Roman" w:hAnsi="Arial" w:cs="Arial"/>
                <w:color w:val="000000"/>
                <w:lang w:eastAsia="pl-PL"/>
              </w:rPr>
              <w:t xml:space="preserve">— dopuszcza się możliwość przeprowadzenia egzaminu z języka angielskiego w sytuacji gdy, kandydat posiada świadectwo dojrzałości, które nie obejmuje przedmiotu „język angielski”. Egzamin w formie pisemnej i ustnej będzie odpowiadać poziomem egzaminowi maturalnemu z języka angielskiego, na poziomie rozszerzonym (część pisemna). Wyniki egzaminu wyrażone w procentach, w skali od 30% do 100% zostaną przeliczone na punkty rankingowe zgodnie z zasadami jak dla kandydatów z „nową maturą”. </w:t>
            </w:r>
          </w:p>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 xml:space="preserve">Wymagana jest udokumentowana znajomość języka polskiego na poziomie C1 według CEFR (zaawansowanym). </w:t>
            </w:r>
          </w:p>
          <w:p w:rsidR="00272623" w:rsidRPr="00272623" w:rsidRDefault="00272623" w:rsidP="00272623">
            <w:pPr>
              <w:spacing w:after="0" w:line="240" w:lineRule="auto"/>
              <w:rPr>
                <w:rFonts w:ascii="Arial" w:eastAsia="Times New Roman" w:hAnsi="Arial" w:cs="Arial"/>
                <w:b/>
                <w:color w:val="000000"/>
                <w:lang w:eastAsia="pl-PL"/>
              </w:rPr>
            </w:pPr>
          </w:p>
          <w:p w:rsidR="00272623" w:rsidRPr="00272623" w:rsidRDefault="00272623" w:rsidP="00272623">
            <w:pPr>
              <w:spacing w:after="0" w:line="240" w:lineRule="auto"/>
              <w:rPr>
                <w:rFonts w:ascii="Arial" w:eastAsia="Times New Roman" w:hAnsi="Arial" w:cs="Arial"/>
                <w:b/>
                <w:color w:val="000000"/>
                <w:lang w:eastAsia="pl-PL"/>
              </w:rPr>
            </w:pPr>
            <w:r w:rsidRPr="00272623">
              <w:rPr>
                <w:rFonts w:ascii="Arial" w:eastAsia="Times New Roman" w:hAnsi="Arial" w:cs="Arial"/>
                <w:b/>
                <w:color w:val="000000"/>
                <w:lang w:eastAsia="pl-PL"/>
              </w:rPr>
              <w:t xml:space="preserve">Dla kandydatów cudzoziemców </w:t>
            </w:r>
          </w:p>
          <w:p w:rsidR="00272623" w:rsidRPr="000709CF"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lastRenderedPageBreak/>
              <w:t xml:space="preserve">Wymagana jest udokumentowana znajomość języka polskiego na poziomie C1 według CEFR (zaawansowanym). </w:t>
            </w:r>
          </w:p>
          <w:p w:rsidR="00272623" w:rsidRPr="00272623" w:rsidRDefault="00272623" w:rsidP="00272623">
            <w:pPr>
              <w:spacing w:after="0" w:line="240" w:lineRule="auto"/>
              <w:rPr>
                <w:rFonts w:ascii="Arial" w:eastAsia="Times New Roman" w:hAnsi="Arial" w:cs="Arial"/>
                <w:b/>
                <w:color w:val="000000"/>
                <w:lang w:eastAsia="pl-PL"/>
              </w:rPr>
            </w:pPr>
          </w:p>
          <w:p w:rsidR="00272623" w:rsidRPr="00272623" w:rsidRDefault="00272623" w:rsidP="00272623">
            <w:pPr>
              <w:spacing w:after="0" w:line="240" w:lineRule="auto"/>
              <w:rPr>
                <w:rFonts w:ascii="Arial" w:eastAsia="Times New Roman" w:hAnsi="Arial" w:cs="Arial"/>
                <w:b/>
                <w:color w:val="000000"/>
                <w:lang w:eastAsia="pl-PL"/>
              </w:rPr>
            </w:pPr>
            <w:r w:rsidRPr="00272623">
              <w:rPr>
                <w:rFonts w:ascii="Arial" w:eastAsia="Times New Roman" w:hAnsi="Arial" w:cs="Arial"/>
                <w:b/>
                <w:color w:val="000000"/>
                <w:lang w:eastAsia="pl-PL"/>
              </w:rPr>
              <w:t>Dla kandydatów ze STARĄ MATURĄ:</w:t>
            </w:r>
          </w:p>
          <w:p w:rsidR="00272623" w:rsidRP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 xml:space="preserve">Konkurs świadectw dojrzałości, w którym brana jest pod uwagę średnia wyników uzyskanych z pisemnego i ustnego egzaminu dojrzałości z </w:t>
            </w:r>
            <w:r w:rsidRPr="00272623">
              <w:rPr>
                <w:rFonts w:ascii="Arial" w:eastAsia="Times New Roman" w:hAnsi="Arial" w:cs="Arial"/>
                <w:b/>
                <w:bCs/>
                <w:color w:val="000000"/>
                <w:lang w:eastAsia="pl-PL"/>
              </w:rPr>
              <w:t>języka angielskiego</w:t>
            </w:r>
            <w:r w:rsidRPr="00272623">
              <w:rPr>
                <w:rFonts w:ascii="Arial" w:eastAsia="Times New Roman" w:hAnsi="Arial" w:cs="Arial"/>
                <w:bCs/>
                <w:color w:val="000000"/>
                <w:lang w:eastAsia="pl-PL"/>
              </w:rPr>
              <w:t>.</w:t>
            </w:r>
          </w:p>
          <w:p w:rsid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Wyniki egzaminów dojrzałości będą przeliczane na punkty procentowe w następujący sposób:</w:t>
            </w:r>
          </w:p>
          <w:p w:rsidR="000709CF" w:rsidRPr="00272623" w:rsidRDefault="000709CF" w:rsidP="00272623">
            <w:pPr>
              <w:spacing w:after="0" w:line="240" w:lineRule="auto"/>
              <w:rPr>
                <w:rFonts w:ascii="Arial" w:eastAsia="Times New Roman" w:hAnsi="Arial" w:cs="Arial"/>
                <w:bCs/>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422"/>
            </w:tblGrid>
            <w:tr w:rsidR="00272623" w:rsidRPr="00272623" w:rsidTr="000709CF">
              <w:trPr>
                <w:jc w:val="center"/>
              </w:trPr>
              <w:tc>
                <w:tcPr>
                  <w:tcW w:w="3598" w:type="dxa"/>
                  <w:shd w:val="clear" w:color="auto" w:fill="D9D9D9"/>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Matura do 1991 roku</w:t>
                  </w:r>
                </w:p>
              </w:tc>
              <w:tc>
                <w:tcPr>
                  <w:tcW w:w="3422" w:type="dxa"/>
                  <w:shd w:val="clear" w:color="auto" w:fill="D9D9D9"/>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Matura po 1991 roku</w:t>
                  </w:r>
                </w:p>
              </w:tc>
            </w:tr>
            <w:tr w:rsidR="00272623" w:rsidRPr="00272623" w:rsidTr="000709CF">
              <w:trPr>
                <w:jc w:val="center"/>
              </w:trPr>
              <w:tc>
                <w:tcPr>
                  <w:tcW w:w="3598" w:type="dxa"/>
                  <w:vAlign w:val="center"/>
                </w:tcPr>
                <w:p w:rsidR="00272623" w:rsidRPr="00272623" w:rsidRDefault="00272623" w:rsidP="00272623">
                  <w:pPr>
                    <w:spacing w:after="0" w:line="240" w:lineRule="auto"/>
                    <w:rPr>
                      <w:rFonts w:ascii="Arial" w:eastAsia="Times New Roman" w:hAnsi="Arial" w:cs="Arial"/>
                      <w:color w:val="000000"/>
                      <w:lang w:eastAsia="pl-PL"/>
                    </w:rPr>
                  </w:pPr>
                </w:p>
              </w:tc>
              <w:tc>
                <w:tcPr>
                  <w:tcW w:w="3422"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6 — 100 %</w:t>
                  </w:r>
                </w:p>
              </w:tc>
            </w:tr>
            <w:tr w:rsidR="00272623" w:rsidRPr="00272623" w:rsidTr="000709CF">
              <w:trPr>
                <w:jc w:val="center"/>
              </w:trPr>
              <w:tc>
                <w:tcPr>
                  <w:tcW w:w="3598"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5 — 100 %</w:t>
                  </w:r>
                </w:p>
              </w:tc>
              <w:tc>
                <w:tcPr>
                  <w:tcW w:w="3422"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5 — 80 %</w:t>
                  </w:r>
                </w:p>
              </w:tc>
            </w:tr>
            <w:tr w:rsidR="00272623" w:rsidRPr="00272623" w:rsidTr="000709CF">
              <w:trPr>
                <w:jc w:val="center"/>
              </w:trPr>
              <w:tc>
                <w:tcPr>
                  <w:tcW w:w="3598"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4 — 70 %</w:t>
                  </w:r>
                </w:p>
              </w:tc>
              <w:tc>
                <w:tcPr>
                  <w:tcW w:w="3422"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4 — 75 %</w:t>
                  </w:r>
                </w:p>
              </w:tc>
            </w:tr>
            <w:tr w:rsidR="00272623" w:rsidRPr="00272623" w:rsidTr="000709CF">
              <w:trPr>
                <w:jc w:val="center"/>
              </w:trPr>
              <w:tc>
                <w:tcPr>
                  <w:tcW w:w="3598"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3 — 30 %</w:t>
                  </w:r>
                </w:p>
              </w:tc>
              <w:tc>
                <w:tcPr>
                  <w:tcW w:w="3422"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3 — 50 %</w:t>
                  </w:r>
                </w:p>
              </w:tc>
            </w:tr>
            <w:tr w:rsidR="00272623" w:rsidRPr="00272623" w:rsidTr="000709CF">
              <w:trPr>
                <w:jc w:val="center"/>
              </w:trPr>
              <w:tc>
                <w:tcPr>
                  <w:tcW w:w="3598" w:type="dxa"/>
                  <w:vAlign w:val="center"/>
                </w:tcPr>
                <w:p w:rsidR="00272623" w:rsidRPr="00272623" w:rsidRDefault="00272623" w:rsidP="00272623">
                  <w:pPr>
                    <w:spacing w:after="0" w:line="240" w:lineRule="auto"/>
                    <w:rPr>
                      <w:rFonts w:ascii="Arial" w:eastAsia="Times New Roman" w:hAnsi="Arial" w:cs="Arial"/>
                      <w:color w:val="000000"/>
                      <w:lang w:eastAsia="pl-PL"/>
                    </w:rPr>
                  </w:pPr>
                </w:p>
              </w:tc>
              <w:tc>
                <w:tcPr>
                  <w:tcW w:w="3422" w:type="dxa"/>
                  <w:vAlign w:val="center"/>
                </w:tcPr>
                <w:p w:rsidR="00272623" w:rsidRPr="00272623" w:rsidRDefault="00272623" w:rsidP="00272623">
                  <w:pPr>
                    <w:spacing w:after="0" w:line="240" w:lineRule="auto"/>
                    <w:rPr>
                      <w:rFonts w:ascii="Arial" w:eastAsia="Times New Roman" w:hAnsi="Arial" w:cs="Arial"/>
                      <w:color w:val="000000"/>
                      <w:lang w:eastAsia="pl-PL"/>
                    </w:rPr>
                  </w:pPr>
                  <w:r w:rsidRPr="00272623">
                    <w:rPr>
                      <w:rFonts w:ascii="Arial" w:eastAsia="Times New Roman" w:hAnsi="Arial" w:cs="Arial"/>
                      <w:color w:val="000000"/>
                      <w:lang w:eastAsia="pl-PL"/>
                    </w:rPr>
                    <w:t>2 — 30 %</w:t>
                  </w:r>
                </w:p>
              </w:tc>
            </w:tr>
          </w:tbl>
          <w:p w:rsidR="00272623" w:rsidRPr="00272623" w:rsidRDefault="00272623" w:rsidP="00272623">
            <w:p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Uzyskany przez kandydata wynik procentowy z części pisemnej i ustnej egzaminu dojrzałości zostanie przeliczony na punkty rankingowe według następujących zasad:</w:t>
            </w:r>
          </w:p>
          <w:p w:rsidR="00272623" w:rsidRPr="00272623" w:rsidRDefault="00272623" w:rsidP="00272623">
            <w:pPr>
              <w:numPr>
                <w:ilvl w:val="0"/>
                <w:numId w:val="6"/>
              </w:numPr>
              <w:spacing w:after="0" w:line="240" w:lineRule="auto"/>
              <w:rPr>
                <w:rFonts w:ascii="Arial" w:eastAsia="Times New Roman" w:hAnsi="Arial" w:cs="Arial"/>
                <w:bCs/>
                <w:color w:val="000000"/>
                <w:lang w:eastAsia="pl-PL"/>
              </w:rPr>
            </w:pPr>
            <w:r w:rsidRPr="00272623">
              <w:rPr>
                <w:rFonts w:ascii="Arial" w:eastAsia="Times New Roman" w:hAnsi="Arial" w:cs="Arial"/>
                <w:bCs/>
                <w:color w:val="000000"/>
                <w:lang w:eastAsia="pl-PL"/>
              </w:rPr>
              <w:t>Procenty egzaminu dojrzałości z części pisemnej i ustnej przelicza się na punkty w relacji 1% = 4 pkt.</w:t>
            </w:r>
          </w:p>
          <w:p w:rsidR="00272623" w:rsidRPr="00272623" w:rsidRDefault="00272623" w:rsidP="00272623">
            <w:pPr>
              <w:numPr>
                <w:ilvl w:val="0"/>
                <w:numId w:val="6"/>
              </w:numPr>
              <w:spacing w:after="0" w:line="240" w:lineRule="auto"/>
              <w:rPr>
                <w:rFonts w:ascii="Arial" w:eastAsia="Times New Roman" w:hAnsi="Arial" w:cs="Arial"/>
                <w:b/>
                <w:color w:val="000000"/>
                <w:lang w:eastAsia="pl-PL"/>
              </w:rPr>
            </w:pPr>
            <w:r w:rsidRPr="00272623">
              <w:rPr>
                <w:rFonts w:ascii="Arial" w:eastAsia="Times New Roman" w:hAnsi="Arial" w:cs="Arial"/>
                <w:bCs/>
                <w:color w:val="000000"/>
                <w:lang w:eastAsia="pl-PL"/>
              </w:rPr>
              <w:t>Procenty egzaminu dojrzałości w szkole dwujęzycznej lub w szkole z językiem angielskim jako ojczystym przelicza się na punkty w relacji 1% = 4 pkt.</w:t>
            </w:r>
          </w:p>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Bezpieczeństwo narodowe i międzynarodowe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Bezpieczeństwo narodowe i międzynarodowe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Bezpieczeństwo narodowe i międzynarodowe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Bezpieczeństwo narodowe i międzynarodowe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Biofizyka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Biologia żywności i żywienia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Biotechnologia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Biotechnologia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Biotechnology</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Chemia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Chemia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Chemia, specjalność: chemia budowlana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Computer</w:t>
            </w:r>
            <w:proofErr w:type="spellEnd"/>
            <w:r w:rsidRPr="000709CF">
              <w:rPr>
                <w:rFonts w:ascii="Verdana" w:eastAsia="Times New Roman" w:hAnsi="Verdana" w:cs="Calibri"/>
                <w:b/>
                <w:bCs/>
                <w:color w:val="000000"/>
                <w:sz w:val="28"/>
                <w:szCs w:val="28"/>
                <w:lang w:eastAsia="pl-PL"/>
              </w:rPr>
              <w:t xml:space="preserve"> Science (for </w:t>
            </w:r>
            <w:proofErr w:type="spellStart"/>
            <w:r w:rsidRPr="000709CF">
              <w:rPr>
                <w:rFonts w:ascii="Verdana" w:eastAsia="Times New Roman" w:hAnsi="Verdana" w:cs="Calibri"/>
                <w:b/>
                <w:bCs/>
                <w:color w:val="000000"/>
                <w:sz w:val="28"/>
                <w:szCs w:val="28"/>
                <w:lang w:eastAsia="pl-PL"/>
              </w:rPr>
              <w:t>BEng</w:t>
            </w:r>
            <w:proofErr w:type="spellEnd"/>
            <w:r w:rsidRPr="000709CF">
              <w:rPr>
                <w:rFonts w:ascii="Verdana" w:eastAsia="Times New Roman" w:hAnsi="Verdana" w:cs="Calibri"/>
                <w:b/>
                <w:bCs/>
                <w:color w:val="000000"/>
                <w:sz w:val="28"/>
                <w:szCs w:val="28"/>
                <w:lang w:eastAsia="pl-PL"/>
              </w:rPr>
              <w:t xml:space="preserve"> </w:t>
            </w:r>
            <w:proofErr w:type="spellStart"/>
            <w:r w:rsidRPr="000709CF">
              <w:rPr>
                <w:rFonts w:ascii="Verdana" w:eastAsia="Times New Roman" w:hAnsi="Verdana" w:cs="Calibri"/>
                <w:b/>
                <w:bCs/>
                <w:color w:val="000000"/>
                <w:sz w:val="28"/>
                <w:szCs w:val="28"/>
                <w:lang w:eastAsia="pl-PL"/>
              </w:rPr>
              <w:t>holders</w:t>
            </w:r>
            <w:proofErr w:type="spellEnd"/>
            <w:r w:rsidRPr="000709CF">
              <w:rPr>
                <w:rFonts w:ascii="Verdana" w:eastAsia="Times New Roman" w:hAnsi="Verdana" w:cs="Calibri"/>
                <w:b/>
                <w:bCs/>
                <w:color w:val="000000"/>
                <w:sz w:val="28"/>
                <w:szCs w:val="28"/>
                <w:lang w:eastAsia="pl-PL"/>
              </w:rPr>
              <w:t>)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Doradztwo filozoficzne i </w:t>
            </w:r>
            <w:proofErr w:type="spellStart"/>
            <w:r w:rsidRPr="000709CF">
              <w:rPr>
                <w:rFonts w:ascii="Verdana" w:eastAsia="Times New Roman" w:hAnsi="Verdana" w:cs="Calibri"/>
                <w:b/>
                <w:bCs/>
                <w:color w:val="000000"/>
                <w:sz w:val="28"/>
                <w:szCs w:val="28"/>
                <w:lang w:eastAsia="pl-PL"/>
              </w:rPr>
              <w:t>coaching</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Doradztwo filozoficzne i </w:t>
            </w:r>
            <w:proofErr w:type="spellStart"/>
            <w:r w:rsidRPr="000709CF">
              <w:rPr>
                <w:rFonts w:ascii="Verdana" w:eastAsia="Times New Roman" w:hAnsi="Verdana" w:cs="Calibri"/>
                <w:b/>
                <w:bCs/>
                <w:color w:val="000000"/>
                <w:sz w:val="28"/>
                <w:szCs w:val="28"/>
                <w:lang w:eastAsia="pl-PL"/>
              </w:rPr>
              <w:t>coaching</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Doradztwo filozoficzne i </w:t>
            </w:r>
            <w:proofErr w:type="spellStart"/>
            <w:r w:rsidRPr="000709CF">
              <w:rPr>
                <w:rFonts w:ascii="Verdana" w:eastAsia="Times New Roman" w:hAnsi="Verdana" w:cs="Calibri"/>
                <w:b/>
                <w:bCs/>
                <w:color w:val="000000"/>
                <w:sz w:val="28"/>
                <w:szCs w:val="28"/>
                <w:lang w:eastAsia="pl-PL"/>
              </w:rPr>
              <w:t>coaching</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Doradztwo filozoficzne i </w:t>
            </w:r>
            <w:proofErr w:type="spellStart"/>
            <w:r w:rsidRPr="000709CF">
              <w:rPr>
                <w:rFonts w:ascii="Verdana" w:eastAsia="Times New Roman" w:hAnsi="Verdana" w:cs="Calibri"/>
                <w:b/>
                <w:bCs/>
                <w:color w:val="000000"/>
                <w:sz w:val="28"/>
                <w:szCs w:val="28"/>
                <w:lang w:eastAsia="pl-PL"/>
              </w:rPr>
              <w:t>coaching</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Doradztwo polityczne i </w:t>
            </w:r>
            <w:r w:rsidRPr="000709CF">
              <w:rPr>
                <w:rFonts w:ascii="Verdana" w:eastAsia="Times New Roman" w:hAnsi="Verdana" w:cs="Calibri"/>
                <w:b/>
                <w:bCs/>
                <w:color w:val="000000"/>
                <w:sz w:val="28"/>
                <w:szCs w:val="28"/>
                <w:lang w:eastAsia="pl-PL"/>
              </w:rPr>
              <w:lastRenderedPageBreak/>
              <w:t>publiczne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Doradztwo polityczne i publiczne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Dziennikarstwo i komunikacja społeczna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Dziennikarstwo i komunikacja społeczna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Dziennikarstwo i komunikacja społeczna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Dziennikarstwo i komunikacja społeczna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artystyczna w zakresie sztuk plastycznych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artystyczna w zakresie sztuk plastycznych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artystyczna w zakresie sztuki muzycznej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artystyczna w zakresie sztuki muzycznej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kulturalna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Edukacja kulturalna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Ekonofizyka</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Ekonofizyka</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 xml:space="preserve">English </w:t>
            </w:r>
            <w:proofErr w:type="spellStart"/>
            <w:r w:rsidRPr="000709CF">
              <w:rPr>
                <w:rFonts w:ascii="Verdana" w:eastAsia="Times New Roman" w:hAnsi="Verdana" w:cs="Calibri"/>
                <w:b/>
                <w:bCs/>
                <w:color w:val="000000"/>
                <w:sz w:val="28"/>
                <w:szCs w:val="28"/>
                <w:lang w:eastAsia="pl-PL"/>
              </w:rPr>
              <w:t>Studies</w:t>
            </w:r>
            <w:proofErr w:type="spellEnd"/>
            <w:r w:rsidRPr="000709CF">
              <w:rPr>
                <w:rFonts w:ascii="Verdana" w:eastAsia="Times New Roman" w:hAnsi="Verdana" w:cs="Calibri"/>
                <w:b/>
                <w:bCs/>
                <w:color w:val="000000"/>
                <w:sz w:val="28"/>
                <w:szCs w:val="28"/>
                <w:lang w:eastAsia="pl-PL"/>
              </w:rPr>
              <w:t xml:space="preserve"> – American and Canadian </w:t>
            </w:r>
            <w:proofErr w:type="spellStart"/>
            <w:r w:rsidRPr="000709CF">
              <w:rPr>
                <w:rFonts w:ascii="Verdana" w:eastAsia="Times New Roman" w:hAnsi="Verdana" w:cs="Calibri"/>
                <w:b/>
                <w:bCs/>
                <w:color w:val="000000"/>
                <w:sz w:val="28"/>
                <w:szCs w:val="28"/>
                <w:lang w:eastAsia="pl-PL"/>
              </w:rPr>
              <w:t>Studies</w:t>
            </w:r>
            <w:proofErr w:type="spellEnd"/>
            <w:r w:rsidRPr="000709CF">
              <w:rPr>
                <w:rFonts w:ascii="Verdana" w:eastAsia="Times New Roman" w:hAnsi="Verdana" w:cs="Calibri"/>
                <w:b/>
                <w:bCs/>
                <w:color w:val="000000"/>
                <w:sz w:val="28"/>
                <w:szCs w:val="28"/>
                <w:lang w:eastAsia="pl-PL"/>
              </w:rPr>
              <w:t xml:space="preserve"> for </w:t>
            </w:r>
            <w:proofErr w:type="spellStart"/>
            <w:r w:rsidRPr="000709CF">
              <w:rPr>
                <w:rFonts w:ascii="Verdana" w:eastAsia="Times New Roman" w:hAnsi="Verdana" w:cs="Calibri"/>
                <w:b/>
                <w:bCs/>
                <w:color w:val="000000"/>
                <w:sz w:val="28"/>
                <w:szCs w:val="28"/>
                <w:lang w:eastAsia="pl-PL"/>
              </w:rPr>
              <w:t>Intercultural</w:t>
            </w:r>
            <w:proofErr w:type="spellEnd"/>
            <w:r w:rsidRPr="000709CF">
              <w:rPr>
                <w:rFonts w:ascii="Verdana" w:eastAsia="Times New Roman" w:hAnsi="Verdana" w:cs="Calibri"/>
                <w:b/>
                <w:bCs/>
                <w:color w:val="000000"/>
                <w:sz w:val="28"/>
                <w:szCs w:val="28"/>
                <w:lang w:eastAsia="pl-PL"/>
              </w:rPr>
              <w:t xml:space="preserve"> Communications and </w:t>
            </w:r>
            <w:proofErr w:type="spellStart"/>
            <w:r w:rsidRPr="000709CF">
              <w:rPr>
                <w:rFonts w:ascii="Verdana" w:eastAsia="Times New Roman" w:hAnsi="Verdana" w:cs="Calibri"/>
                <w:b/>
                <w:bCs/>
                <w:color w:val="000000"/>
                <w:sz w:val="28"/>
                <w:szCs w:val="28"/>
                <w:lang w:eastAsia="pl-PL"/>
              </w:rPr>
              <w:t>Diplomacy</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Etnologia i antropologia kulturowa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Etnologia i antropologia kulturowa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język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język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język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kultura i literatura angielskiego obszaru językowego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kultura-media-translacja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kultura-media-translacja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angielska, specjalność: kultura-media-translacja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nauczycielska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nauczycielska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nauczycielska z językiem niemieckim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projektowanie rozrywki interaktywnej (SPRINT-WRITE II)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8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projektowanie rozrywki interaktywnej oraz lokalizacja gier i oprogramowania (SPRINT - WRITE)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arabskim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angielska, specjalność: tłumaczeniowa z językiem chińskim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chińskim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japońskim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japońskim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koreańskim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niemieckim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angielska, specjalność: tłumaczeniowa z językiem niemieckim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germańska, specjalność: interkulturowe studia niemcoznawcze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język niemiecki od podstaw</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język szwedzki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nauczycielska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nauczycielska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nauczycielska z językiem szwedzkim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studia interkulturowe z językiem szwedzkim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germańska, specjalność: tłumaczeniowa w zakresie języka prawniczego i ekonomicznego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germańska, specjalność: tłumaczeniowa w zakresie języków specjalistycznych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klasyczna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klasyczna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polska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polska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słowiańska, specjalność: językowo-kulturowa z językiem zachodnioeuropejskim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słowiańska, specjalność: przekład w komunikacji międzykulturowej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 język rosyjski w turystyce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europejskie studia leksykograficzne (</w:t>
            </w:r>
            <w:proofErr w:type="spellStart"/>
            <w:r w:rsidRPr="000709CF">
              <w:rPr>
                <w:rFonts w:ascii="Verdana" w:eastAsia="Times New Roman" w:hAnsi="Verdana" w:cs="Calibri"/>
                <w:b/>
                <w:bCs/>
                <w:color w:val="000000"/>
                <w:sz w:val="28"/>
                <w:szCs w:val="28"/>
                <w:lang w:eastAsia="pl-PL"/>
              </w:rPr>
              <w:t>EMLex</w:t>
            </w:r>
            <w:proofErr w:type="spellEnd"/>
            <w:r w:rsidRPr="000709CF">
              <w:rPr>
                <w:rFonts w:ascii="Verdana" w:eastAsia="Times New Roman" w:hAnsi="Verdana" w:cs="Calibri"/>
                <w:b/>
                <w:bCs/>
                <w:color w:val="000000"/>
                <w:sz w:val="28"/>
                <w:szCs w:val="28"/>
                <w:lang w:eastAsia="pl-PL"/>
              </w:rPr>
              <w:t>)</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filologia romańska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specjalność: język francuski z programem tłumaczenia specjalistycznego i wspomaganego komputerowo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francuski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hiszpański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hiszpański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hiszpański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hiszpański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hiszpański z programem: kultura, literatura i media w Ameryce Łacińskiej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specjalność: język hiszpański z programem: kultura, literatura i media w Ameryce Łacińskiej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rosyjski - program język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rosyjski – program język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rosyjski - program tłumaczeniowy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rosyjski - program tłumaczeniowy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rosyjski - program tłumaczeniowy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włoski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włoski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specjalność: język włoski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 włoski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francuski i język angielski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francuski i język angielski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8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francuski i język angielski z programem tłumaczeniowym  z językiem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8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francuski i język angielski z programem tłumaczeniowym z językiem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Filologia, specjalność: języki stosowane: język rosyjski z językiem angielskim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rosyjski z językiem angielskim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włoski i język angielski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włoski i język angielski z programem tłumaczeniowym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8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włoski i język angielski z programem tłumaczeniowym  z językiem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8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Filologia, specjalność: języki stosowane: język włoski i język angielski z programem tłumaczeniowym  z językiem biznesu</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Filozofia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Filozofia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Filozofia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Filozofia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 medyczna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 medyczna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 techniczna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Fizyka techniczna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Fizyka, specjalność: </w:t>
            </w:r>
            <w:proofErr w:type="spellStart"/>
            <w:r w:rsidRPr="000709CF">
              <w:rPr>
                <w:rFonts w:ascii="Verdana" w:eastAsia="Times New Roman" w:hAnsi="Verdana" w:cs="Calibri"/>
                <w:b/>
                <w:bCs/>
                <w:color w:val="000000"/>
                <w:sz w:val="28"/>
                <w:szCs w:val="28"/>
                <w:lang w:eastAsia="pl-PL"/>
              </w:rPr>
              <w:t>nanofizyka</w:t>
            </w:r>
            <w:proofErr w:type="spellEnd"/>
            <w:r w:rsidRPr="000709CF">
              <w:rPr>
                <w:rFonts w:ascii="Verdana" w:eastAsia="Times New Roman" w:hAnsi="Verdana" w:cs="Calibri"/>
                <w:b/>
                <w:bCs/>
                <w:color w:val="000000"/>
                <w:sz w:val="28"/>
                <w:szCs w:val="28"/>
                <w:lang w:eastAsia="pl-PL"/>
              </w:rPr>
              <w:t xml:space="preserve"> i materiały </w:t>
            </w:r>
            <w:proofErr w:type="spellStart"/>
            <w:r w:rsidRPr="000709CF">
              <w:rPr>
                <w:rFonts w:ascii="Verdana" w:eastAsia="Times New Roman" w:hAnsi="Verdana" w:cs="Calibri"/>
                <w:b/>
                <w:bCs/>
                <w:color w:val="000000"/>
                <w:sz w:val="28"/>
                <w:szCs w:val="28"/>
                <w:lang w:eastAsia="pl-PL"/>
              </w:rPr>
              <w:t>mezoskopowe</w:t>
            </w:r>
            <w:proofErr w:type="spellEnd"/>
            <w:r w:rsidRPr="000709CF">
              <w:rPr>
                <w:rFonts w:ascii="Verdana" w:eastAsia="Times New Roman" w:hAnsi="Verdana" w:cs="Calibri"/>
                <w:b/>
                <w:bCs/>
                <w:color w:val="000000"/>
                <w:sz w:val="28"/>
                <w:szCs w:val="28"/>
                <w:lang w:eastAsia="pl-PL"/>
              </w:rPr>
              <w:t xml:space="preserve"> - modelowanie i zastosowanie - studia w języku angielskim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Geofizyka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Geografia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Geografia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Geografia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Geologia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Geologia stosowana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Grafika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 sztuki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Historia sztuki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Indywidualne Studia </w:t>
            </w:r>
            <w:proofErr w:type="spellStart"/>
            <w:r w:rsidRPr="000709CF">
              <w:rPr>
                <w:rFonts w:ascii="Verdana" w:eastAsia="Times New Roman" w:hAnsi="Verdana" w:cs="Calibri"/>
                <w:b/>
                <w:bCs/>
                <w:color w:val="000000"/>
                <w:sz w:val="28"/>
                <w:szCs w:val="28"/>
                <w:lang w:eastAsia="pl-PL"/>
              </w:rPr>
              <w:t>Międzyobszarowe</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Indywidualne Studia </w:t>
            </w:r>
            <w:proofErr w:type="spellStart"/>
            <w:r w:rsidRPr="000709CF">
              <w:rPr>
                <w:rFonts w:ascii="Verdana" w:eastAsia="Times New Roman" w:hAnsi="Verdana" w:cs="Calibri"/>
                <w:b/>
                <w:bCs/>
                <w:color w:val="000000"/>
                <w:sz w:val="28"/>
                <w:szCs w:val="28"/>
                <w:lang w:eastAsia="pl-PL"/>
              </w:rPr>
              <w:t>Międzyobszarowe</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Informacja naukowa i bibliotekoznawstwo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Informacja naukowa i bibliotekoznawstwo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Informacja naukowa i bibliotekoznawstwo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Informacja naukowa i bibliotekoznawstwo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Informatyka (po studiach inżynierskich)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Informatyka (po studiach inżynierskich)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Informatyka (po studiach inżynierskich) - nabór na semestr zimowy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Informatyka stosowana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biomedyczna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biomedyczna (po studiach inżynierskich)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materiałowa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materiałowa (czterosemestralne, po studiach licencjackich)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materiałowa (po studiach inżynierskich)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Inżynieria zagrożeń środowiskowych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Język francuski od podstaw z programem tłumaczeniowym i językiem specjalistycznym</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Kognitywistyka</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Kognitywistyka</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Komunikacja promocyjna i kryzysowa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Kulturoznawstwo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Kultury mediów</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Kultury mediów</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Kultury mediów</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Kultury mediów</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Malarstwo i projekty interdyscyplinarne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Malarstwo i projekty interdyscyplinarne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Matematyka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Matematyka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Matematyka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Matematyka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Materials Science and Engineering</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Materials Science and Engineering (for </w:t>
            </w:r>
            <w:proofErr w:type="spellStart"/>
            <w:r w:rsidRPr="000709CF">
              <w:rPr>
                <w:rFonts w:ascii="Verdana" w:eastAsia="Times New Roman" w:hAnsi="Verdana" w:cs="Calibri"/>
                <w:b/>
                <w:bCs/>
                <w:color w:val="000000"/>
                <w:sz w:val="28"/>
                <w:szCs w:val="28"/>
                <w:lang w:eastAsia="pl-PL"/>
              </w:rPr>
              <w:t>BEng</w:t>
            </w:r>
            <w:proofErr w:type="spellEnd"/>
            <w:r w:rsidRPr="000709CF">
              <w:rPr>
                <w:rFonts w:ascii="Verdana" w:eastAsia="Times New Roman" w:hAnsi="Verdana" w:cs="Calibri"/>
                <w:b/>
                <w:bCs/>
                <w:color w:val="000000"/>
                <w:sz w:val="28"/>
                <w:szCs w:val="28"/>
                <w:lang w:eastAsia="pl-PL"/>
              </w:rPr>
              <w:t xml:space="preserve"> </w:t>
            </w:r>
            <w:proofErr w:type="spellStart"/>
            <w:r w:rsidRPr="000709CF">
              <w:rPr>
                <w:rFonts w:ascii="Verdana" w:eastAsia="Times New Roman" w:hAnsi="Verdana" w:cs="Calibri"/>
                <w:b/>
                <w:bCs/>
                <w:color w:val="000000"/>
                <w:sz w:val="28"/>
                <w:szCs w:val="28"/>
                <w:lang w:eastAsia="pl-PL"/>
              </w:rPr>
              <w:t>holders</w:t>
            </w:r>
            <w:proofErr w:type="spellEnd"/>
            <w:r w:rsidRPr="000709CF">
              <w:rPr>
                <w:rFonts w:ascii="Verdana" w:eastAsia="Times New Roman" w:hAnsi="Verdana" w:cs="Calibri"/>
                <w:b/>
                <w:bCs/>
                <w:color w:val="000000"/>
                <w:sz w:val="28"/>
                <w:szCs w:val="28"/>
                <w:lang w:eastAsia="pl-PL"/>
              </w:rPr>
              <w:t>)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Mechatronika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Mechatronika - nabór na semestr letni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Mediteranistyka</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Międzynarodowe studia polskie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Międzynarodowe studia polskie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Muzyka w multimediach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Nauki o rodzinie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Nauki o rodzinie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Nauki o rodzinie, specjalność: mediator i asystent rodziny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Nauki o rodzinie, specjalność: mediator i asystent rodziny</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Ochrona środowiska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Ochrona Środowiska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Oligofrenopedagogika z </w:t>
            </w:r>
            <w:proofErr w:type="spellStart"/>
            <w:r w:rsidRPr="000709CF">
              <w:rPr>
                <w:rFonts w:ascii="Verdana" w:eastAsia="Times New Roman" w:hAnsi="Verdana" w:cs="Calibri"/>
                <w:b/>
                <w:bCs/>
                <w:color w:val="000000"/>
                <w:sz w:val="28"/>
                <w:szCs w:val="28"/>
                <w:lang w:eastAsia="pl-PL"/>
              </w:rPr>
              <w:t>arteterapią</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 xml:space="preserve">Oligofrenopedagogika z </w:t>
            </w:r>
            <w:proofErr w:type="spellStart"/>
            <w:r w:rsidRPr="000709CF">
              <w:rPr>
                <w:rFonts w:ascii="Verdana" w:eastAsia="Times New Roman" w:hAnsi="Verdana" w:cs="Calibri"/>
                <w:b/>
                <w:bCs/>
                <w:color w:val="000000"/>
                <w:sz w:val="28"/>
                <w:szCs w:val="28"/>
                <w:lang w:eastAsia="pl-PL"/>
              </w:rPr>
              <w:t>arteterapią</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Organizacja produkcji filmowej i telewizyjnej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Organizacja produkcji filmowej i telewizyjnej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Organizacja produkcji filmowej i telewizyjnej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Organizacja produkcji filmowej i telewizyjnej</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Pedagogika osób niepełnosprawnych z </w:t>
            </w:r>
            <w:proofErr w:type="spellStart"/>
            <w:r w:rsidRPr="000709CF">
              <w:rPr>
                <w:rFonts w:ascii="Verdana" w:eastAsia="Times New Roman" w:hAnsi="Verdana" w:cs="Calibri"/>
                <w:b/>
                <w:bCs/>
                <w:color w:val="000000"/>
                <w:sz w:val="28"/>
                <w:szCs w:val="28"/>
                <w:lang w:eastAsia="pl-PL"/>
              </w:rPr>
              <w:t>arteterapią</w:t>
            </w:r>
            <w:proofErr w:type="spellEnd"/>
            <w:r w:rsidRPr="000709CF">
              <w:rPr>
                <w:rFonts w:ascii="Verdana" w:eastAsia="Times New Roman" w:hAnsi="Verdana" w:cs="Calibri"/>
                <w:b/>
                <w:bCs/>
                <w:color w:val="000000"/>
                <w:sz w:val="28"/>
                <w:szCs w:val="28"/>
                <w:lang w:eastAsia="pl-PL"/>
              </w:rPr>
              <w:t xml:space="preserve">, specjalność: surdopedagogika z </w:t>
            </w:r>
            <w:proofErr w:type="spellStart"/>
            <w:r w:rsidRPr="000709CF">
              <w:rPr>
                <w:rFonts w:ascii="Verdana" w:eastAsia="Times New Roman" w:hAnsi="Verdana" w:cs="Calibri"/>
                <w:b/>
                <w:bCs/>
                <w:color w:val="000000"/>
                <w:sz w:val="28"/>
                <w:szCs w:val="28"/>
                <w:lang w:eastAsia="pl-PL"/>
              </w:rPr>
              <w:t>arteterapią</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Pedagogika osób niepełnosprawnych z </w:t>
            </w:r>
            <w:proofErr w:type="spellStart"/>
            <w:r w:rsidRPr="000709CF">
              <w:rPr>
                <w:rFonts w:ascii="Verdana" w:eastAsia="Times New Roman" w:hAnsi="Verdana" w:cs="Calibri"/>
                <w:b/>
                <w:bCs/>
                <w:color w:val="000000"/>
                <w:sz w:val="28"/>
                <w:szCs w:val="28"/>
                <w:lang w:eastAsia="pl-PL"/>
              </w:rPr>
              <w:t>arteterapią</w:t>
            </w:r>
            <w:proofErr w:type="spellEnd"/>
            <w:r w:rsidRPr="000709CF">
              <w:rPr>
                <w:rFonts w:ascii="Verdana" w:eastAsia="Times New Roman" w:hAnsi="Verdana" w:cs="Calibri"/>
                <w:b/>
                <w:bCs/>
                <w:color w:val="000000"/>
                <w:sz w:val="28"/>
                <w:szCs w:val="28"/>
                <w:lang w:eastAsia="pl-PL"/>
              </w:rPr>
              <w:t xml:space="preserve">, specjalność: surdopedagogika z </w:t>
            </w:r>
            <w:proofErr w:type="spellStart"/>
            <w:r w:rsidRPr="000709CF">
              <w:rPr>
                <w:rFonts w:ascii="Verdana" w:eastAsia="Times New Roman" w:hAnsi="Verdana" w:cs="Calibri"/>
                <w:b/>
                <w:bCs/>
                <w:color w:val="000000"/>
                <w:sz w:val="28"/>
                <w:szCs w:val="28"/>
                <w:lang w:eastAsia="pl-PL"/>
              </w:rPr>
              <w:t>arteterapią</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specjalna w Katowicach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specjalna w Katowicach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Pedagogika w Cieszynie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Cieszynie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Cieszynie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Cieszynie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wychowanie przedszkolne z nauczaniem języka obcego: język angielski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edukacja wczesnoszkolna i wychowanie przedszkolne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edukacja wczesnoszkolna i wychowanie przedszkolne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pedagogika opiekuńczo-wychowawcza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Pedagogika w Katowicach, specjalność: pedagogika opiekuńczo-wychowawcza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pedagogika resocjalizacyjna z profilaktyką społeczną</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pedagogika resocjalizacyjna z profilaktyką społeczną</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pedagogika rewalidacyjna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pedagogika rewalidacyjna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Pedagogika w Katowicach, specjalność: promocja zdrowia z profilaktyką uzależnień</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Pedagogika w Katowicach, specjalność: promocja zdrowia z profilaktyką </w:t>
            </w:r>
            <w:r w:rsidRPr="000709CF">
              <w:rPr>
                <w:rFonts w:ascii="Verdana" w:eastAsia="Times New Roman" w:hAnsi="Verdana" w:cs="Calibri"/>
                <w:b/>
                <w:bCs/>
                <w:color w:val="000000"/>
                <w:sz w:val="28"/>
                <w:szCs w:val="28"/>
                <w:lang w:eastAsia="pl-PL"/>
              </w:rPr>
              <w:lastRenderedPageBreak/>
              <w:t>uzależnień</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50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Pedagogika w Katowicach, specjalność: wychowanie przedszkolne z nauczaniem języka obcego: język angielski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Pedagogy</w:t>
            </w:r>
            <w:proofErr w:type="spellEnd"/>
            <w:r w:rsidRPr="000709CF">
              <w:rPr>
                <w:rFonts w:ascii="Verdana" w:eastAsia="Times New Roman" w:hAnsi="Verdana" w:cs="Calibri"/>
                <w:b/>
                <w:bCs/>
                <w:color w:val="000000"/>
                <w:sz w:val="28"/>
                <w:szCs w:val="28"/>
                <w:lang w:eastAsia="pl-PL"/>
              </w:rPr>
              <w:t xml:space="preserve"> – </w:t>
            </w:r>
            <w:proofErr w:type="spellStart"/>
            <w:r w:rsidRPr="000709CF">
              <w:rPr>
                <w:rFonts w:ascii="Verdana" w:eastAsia="Times New Roman" w:hAnsi="Verdana" w:cs="Calibri"/>
                <w:b/>
                <w:bCs/>
                <w:color w:val="000000"/>
                <w:sz w:val="28"/>
                <w:szCs w:val="28"/>
                <w:lang w:eastAsia="pl-PL"/>
              </w:rPr>
              <w:t>Resocialization</w:t>
            </w:r>
            <w:proofErr w:type="spellEnd"/>
            <w:r w:rsidRPr="000709CF">
              <w:rPr>
                <w:rFonts w:ascii="Verdana" w:eastAsia="Times New Roman" w:hAnsi="Verdana" w:cs="Calibri"/>
                <w:b/>
                <w:bCs/>
                <w:color w:val="000000"/>
                <w:sz w:val="28"/>
                <w:szCs w:val="28"/>
                <w:lang w:eastAsia="pl-PL"/>
              </w:rPr>
              <w:t xml:space="preserve"> with </w:t>
            </w:r>
            <w:proofErr w:type="spellStart"/>
            <w:r w:rsidRPr="000709CF">
              <w:rPr>
                <w:rFonts w:ascii="Verdana" w:eastAsia="Times New Roman" w:hAnsi="Verdana" w:cs="Calibri"/>
                <w:b/>
                <w:bCs/>
                <w:color w:val="000000"/>
                <w:sz w:val="28"/>
                <w:szCs w:val="28"/>
                <w:lang w:eastAsia="pl-PL"/>
              </w:rPr>
              <w:t>Intercultural</w:t>
            </w:r>
            <w:proofErr w:type="spellEnd"/>
            <w:r w:rsidRPr="000709CF">
              <w:rPr>
                <w:rFonts w:ascii="Verdana" w:eastAsia="Times New Roman" w:hAnsi="Verdana" w:cs="Calibri"/>
                <w:b/>
                <w:bCs/>
                <w:color w:val="000000"/>
                <w:sz w:val="28"/>
                <w:szCs w:val="28"/>
                <w:lang w:eastAsia="pl-PL"/>
              </w:rPr>
              <w:t xml:space="preserve"> </w:t>
            </w:r>
            <w:proofErr w:type="spellStart"/>
            <w:r w:rsidRPr="000709CF">
              <w:rPr>
                <w:rFonts w:ascii="Verdana" w:eastAsia="Times New Roman" w:hAnsi="Verdana" w:cs="Calibri"/>
                <w:b/>
                <w:bCs/>
                <w:color w:val="000000"/>
                <w:sz w:val="28"/>
                <w:szCs w:val="28"/>
                <w:lang w:eastAsia="pl-PL"/>
              </w:rPr>
              <w:t>Education</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Politologia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Politologia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Politologia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Politologia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Praca socjalna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Praca socjalna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Praca socjalna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Praca socjalna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Prawo</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Projektowanie gier i przestrzeni wirtualnej specjalność: grafika komputerowa gier</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Projektowanie gier i przestrzeni wirtualnej specjalność: grafika komputerowa gier</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Przedsiębiorczość</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Przedsiębiorczość</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Przedsiębiorczość</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Przedsiębiorczość</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Psychologia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Psychologia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112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 xml:space="preserve">Realizacja obrazu </w:t>
            </w:r>
            <w:proofErr w:type="spellStart"/>
            <w:r w:rsidRPr="000709CF">
              <w:rPr>
                <w:rFonts w:ascii="Verdana" w:eastAsia="Times New Roman" w:hAnsi="Verdana" w:cs="Calibri"/>
                <w:b/>
                <w:bCs/>
                <w:color w:val="000000"/>
                <w:sz w:val="28"/>
                <w:szCs w:val="28"/>
                <w:lang w:eastAsia="pl-PL"/>
              </w:rPr>
              <w:t>filmowego,telewizyjnego</w:t>
            </w:r>
            <w:proofErr w:type="spellEnd"/>
            <w:r w:rsidRPr="000709CF">
              <w:rPr>
                <w:rFonts w:ascii="Verdana" w:eastAsia="Times New Roman" w:hAnsi="Verdana" w:cs="Calibri"/>
                <w:b/>
                <w:bCs/>
                <w:color w:val="000000"/>
                <w:sz w:val="28"/>
                <w:szCs w:val="28"/>
                <w:lang w:eastAsia="pl-PL"/>
              </w:rPr>
              <w:t xml:space="preserve"> i fotografia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Reżyseria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Reżyseria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Socjologia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Socjologia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Socjologia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Socjologia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Sztuka pisania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Środkowoeuropejskie studia historyczne</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Technologia chemiczna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Teologia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lastRenderedPageBreak/>
              <w:t>Teologia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750"/>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Teologia, specjalność: teologia pastoralna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proofErr w:type="spellStart"/>
            <w:r w:rsidRPr="000709CF">
              <w:rPr>
                <w:rFonts w:ascii="Verdana" w:eastAsia="Times New Roman" w:hAnsi="Verdana" w:cs="Calibri"/>
                <w:b/>
                <w:bCs/>
                <w:color w:val="000000"/>
                <w:sz w:val="28"/>
                <w:szCs w:val="28"/>
                <w:lang w:eastAsia="pl-PL"/>
              </w:rPr>
              <w:t>Theoretical</w:t>
            </w:r>
            <w:proofErr w:type="spellEnd"/>
            <w:r w:rsidRPr="000709CF">
              <w:rPr>
                <w:rFonts w:ascii="Verdana" w:eastAsia="Times New Roman" w:hAnsi="Verdana" w:cs="Calibri"/>
                <w:b/>
                <w:bCs/>
                <w:color w:val="000000"/>
                <w:sz w:val="28"/>
                <w:szCs w:val="28"/>
                <w:lang w:eastAsia="pl-PL"/>
              </w:rPr>
              <w:t xml:space="preserve"> </w:t>
            </w:r>
            <w:proofErr w:type="spellStart"/>
            <w:r w:rsidRPr="000709CF">
              <w:rPr>
                <w:rFonts w:ascii="Verdana" w:eastAsia="Times New Roman" w:hAnsi="Verdana" w:cs="Calibri"/>
                <w:b/>
                <w:bCs/>
                <w:color w:val="000000"/>
                <w:sz w:val="28"/>
                <w:szCs w:val="28"/>
                <w:lang w:eastAsia="pl-PL"/>
              </w:rPr>
              <w:t>Physics</w:t>
            </w:r>
            <w:proofErr w:type="spellEnd"/>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Turystyka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Turystyka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Turystyka historyczna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Turystyka historyczna</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Zarządzanie zasobami ludzkimi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r w:rsidR="00FA01C7" w:rsidRPr="008C155C" w:rsidTr="000709CF">
        <w:trPr>
          <w:trHeight w:val="375"/>
        </w:trPr>
        <w:tc>
          <w:tcPr>
            <w:tcW w:w="1162" w:type="pct"/>
            <w:shd w:val="clear" w:color="auto" w:fill="auto"/>
            <w:hideMark/>
          </w:tcPr>
          <w:p w:rsidR="00FA01C7" w:rsidRPr="000709CF" w:rsidRDefault="00FA01C7" w:rsidP="00FA01C7">
            <w:pPr>
              <w:spacing w:after="0" w:line="240" w:lineRule="auto"/>
              <w:rPr>
                <w:rFonts w:ascii="Verdana" w:eastAsia="Times New Roman" w:hAnsi="Verdana" w:cs="Calibri"/>
                <w:b/>
                <w:bCs/>
                <w:color w:val="000000"/>
                <w:sz w:val="28"/>
                <w:szCs w:val="28"/>
                <w:lang w:eastAsia="pl-PL"/>
              </w:rPr>
            </w:pPr>
            <w:r w:rsidRPr="000709CF">
              <w:rPr>
                <w:rFonts w:ascii="Verdana" w:eastAsia="Times New Roman" w:hAnsi="Verdana" w:cs="Calibri"/>
                <w:b/>
                <w:bCs/>
                <w:color w:val="000000"/>
                <w:sz w:val="28"/>
                <w:szCs w:val="28"/>
                <w:lang w:eastAsia="pl-PL"/>
              </w:rPr>
              <w:t>Zarządzanie zasobami ludzkimi</w:t>
            </w:r>
          </w:p>
        </w:tc>
        <w:tc>
          <w:tcPr>
            <w:tcW w:w="3838" w:type="pct"/>
          </w:tcPr>
          <w:p w:rsidR="00FA01C7" w:rsidRPr="00FA01C7" w:rsidRDefault="00FA01C7" w:rsidP="008C155C">
            <w:pPr>
              <w:spacing w:after="0" w:line="240" w:lineRule="auto"/>
              <w:jc w:val="center"/>
              <w:rPr>
                <w:rFonts w:ascii="Arial" w:eastAsia="Times New Roman" w:hAnsi="Arial" w:cs="Arial"/>
                <w:color w:val="000000"/>
                <w:lang w:eastAsia="pl-PL"/>
              </w:rPr>
            </w:pPr>
          </w:p>
        </w:tc>
      </w:tr>
    </w:tbl>
    <w:p w:rsidR="001F06D5" w:rsidRDefault="001F06D5"/>
    <w:sectPr w:rsidR="001F06D5" w:rsidSect="008C15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F3"/>
    <w:multiLevelType w:val="hybridMultilevel"/>
    <w:tmpl w:val="5C78D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5E29FF"/>
    <w:multiLevelType w:val="hybridMultilevel"/>
    <w:tmpl w:val="883E3E80"/>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DF44F2"/>
    <w:multiLevelType w:val="hybridMultilevel"/>
    <w:tmpl w:val="B0E0F0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F27A1B"/>
    <w:multiLevelType w:val="hybridMultilevel"/>
    <w:tmpl w:val="6770A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FA8070F"/>
    <w:multiLevelType w:val="hybridMultilevel"/>
    <w:tmpl w:val="0AF48B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B205FBA"/>
    <w:multiLevelType w:val="hybridMultilevel"/>
    <w:tmpl w:val="4DC4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B2"/>
    <w:rsid w:val="000709CF"/>
    <w:rsid w:val="000B07F0"/>
    <w:rsid w:val="000C77F3"/>
    <w:rsid w:val="001F06D5"/>
    <w:rsid w:val="0020347D"/>
    <w:rsid w:val="00272623"/>
    <w:rsid w:val="00702B8D"/>
    <w:rsid w:val="008C155C"/>
    <w:rsid w:val="00F465B2"/>
    <w:rsid w:val="00FA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9"/>
    <w:qFormat/>
    <w:rsid w:val="00FA01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155C"/>
    <w:rPr>
      <w:color w:val="0563C1"/>
      <w:u w:val="single"/>
    </w:rPr>
  </w:style>
  <w:style w:type="character" w:styleId="UyteHipercze">
    <w:name w:val="FollowedHyperlink"/>
    <w:basedOn w:val="Domylnaczcionkaakapitu"/>
    <w:uiPriority w:val="99"/>
    <w:semiHidden/>
    <w:unhideWhenUsed/>
    <w:rsid w:val="008C155C"/>
    <w:rPr>
      <w:color w:val="954F72"/>
      <w:u w:val="single"/>
    </w:rPr>
  </w:style>
  <w:style w:type="paragraph" w:customStyle="1" w:styleId="xl65">
    <w:name w:val="xl65"/>
    <w:basedOn w:val="Normalny"/>
    <w:rsid w:val="008C15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8C155C"/>
    <w:pPr>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67">
    <w:name w:val="xl67"/>
    <w:basedOn w:val="Normalny"/>
    <w:rsid w:val="008C15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Default">
    <w:name w:val="Default"/>
    <w:rsid w:val="00FA01C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FA01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01C7"/>
    <w:pPr>
      <w:ind w:left="720"/>
      <w:contextualSpacing/>
    </w:pPr>
  </w:style>
  <w:style w:type="character" w:customStyle="1" w:styleId="Nagwek3Znak">
    <w:name w:val="Nagłówek 3 Znak"/>
    <w:basedOn w:val="Domylnaczcionkaakapitu"/>
    <w:link w:val="Nagwek3"/>
    <w:uiPriority w:val="99"/>
    <w:rsid w:val="00FA01C7"/>
    <w:rPr>
      <w:rFonts w:ascii="Arial" w:eastAsia="Times New Roman" w:hAnsi="Arial" w:cs="Arial"/>
      <w:b/>
      <w:bCs/>
      <w:sz w:val="26"/>
      <w:szCs w:val="26"/>
      <w:lang w:eastAsia="pl-PL"/>
    </w:rPr>
  </w:style>
  <w:style w:type="paragraph" w:styleId="Tekstdymka">
    <w:name w:val="Balloon Text"/>
    <w:basedOn w:val="Normalny"/>
    <w:link w:val="TekstdymkaZnak"/>
    <w:uiPriority w:val="99"/>
    <w:semiHidden/>
    <w:unhideWhenUsed/>
    <w:rsid w:val="0070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9"/>
    <w:qFormat/>
    <w:rsid w:val="00FA01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155C"/>
    <w:rPr>
      <w:color w:val="0563C1"/>
      <w:u w:val="single"/>
    </w:rPr>
  </w:style>
  <w:style w:type="character" w:styleId="UyteHipercze">
    <w:name w:val="FollowedHyperlink"/>
    <w:basedOn w:val="Domylnaczcionkaakapitu"/>
    <w:uiPriority w:val="99"/>
    <w:semiHidden/>
    <w:unhideWhenUsed/>
    <w:rsid w:val="008C155C"/>
    <w:rPr>
      <w:color w:val="954F72"/>
      <w:u w:val="single"/>
    </w:rPr>
  </w:style>
  <w:style w:type="paragraph" w:customStyle="1" w:styleId="xl65">
    <w:name w:val="xl65"/>
    <w:basedOn w:val="Normalny"/>
    <w:rsid w:val="008C15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8C155C"/>
    <w:pPr>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67">
    <w:name w:val="xl67"/>
    <w:basedOn w:val="Normalny"/>
    <w:rsid w:val="008C15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Default">
    <w:name w:val="Default"/>
    <w:rsid w:val="00FA01C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FA01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01C7"/>
    <w:pPr>
      <w:ind w:left="720"/>
      <w:contextualSpacing/>
    </w:pPr>
  </w:style>
  <w:style w:type="character" w:customStyle="1" w:styleId="Nagwek3Znak">
    <w:name w:val="Nagłówek 3 Znak"/>
    <w:basedOn w:val="Domylnaczcionkaakapitu"/>
    <w:link w:val="Nagwek3"/>
    <w:uiPriority w:val="99"/>
    <w:rsid w:val="00FA01C7"/>
    <w:rPr>
      <w:rFonts w:ascii="Arial" w:eastAsia="Times New Roman" w:hAnsi="Arial" w:cs="Arial"/>
      <w:b/>
      <w:bCs/>
      <w:sz w:val="26"/>
      <w:szCs w:val="26"/>
      <w:lang w:eastAsia="pl-PL"/>
    </w:rPr>
  </w:style>
  <w:style w:type="paragraph" w:styleId="Tekstdymka">
    <w:name w:val="Balloon Text"/>
    <w:basedOn w:val="Normalny"/>
    <w:link w:val="TekstdymkaZnak"/>
    <w:uiPriority w:val="99"/>
    <w:semiHidden/>
    <w:unhideWhenUsed/>
    <w:rsid w:val="0070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BE6E-273B-46FC-877E-65CF72BC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Gorgoń</dc:creator>
  <cp:lastModifiedBy>Urszula Miemiec</cp:lastModifiedBy>
  <cp:revision>4</cp:revision>
  <cp:lastPrinted>2018-11-06T13:41:00Z</cp:lastPrinted>
  <dcterms:created xsi:type="dcterms:W3CDTF">2018-11-06T13:38:00Z</dcterms:created>
  <dcterms:modified xsi:type="dcterms:W3CDTF">2018-11-06T13:50:00Z</dcterms:modified>
</cp:coreProperties>
</file>